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0E7EE7" w14:textId="46417F86" w:rsidR="004758B6" w:rsidRDefault="00000000">
      <w:pPr>
        <w:tabs>
          <w:tab w:val="center" w:pos="4536"/>
          <w:tab w:val="right" w:pos="7938"/>
          <w:tab w:val="right" w:pos="9639"/>
        </w:tabs>
        <w:spacing w:after="0"/>
        <w:ind w:right="2"/>
        <w:rPr>
          <w:rFonts w:ascii="Arial" w:hAnsi="Arial" w:cs="Arial"/>
          <w:b/>
          <w:bCs/>
          <w:sz w:val="28"/>
        </w:rPr>
      </w:pPr>
      <w:bookmarkStart w:id="0" w:name="_Ref462675860"/>
      <w:r>
        <w:rPr>
          <w:rFonts w:ascii="Arial" w:hAnsi="Arial" w:cs="Arial"/>
          <w:b/>
          <w:bCs/>
          <w:sz w:val="28"/>
        </w:rPr>
        <w:t>3GPP TSG RAN WG1 #118</w:t>
      </w:r>
      <w:r>
        <w:rPr>
          <w:rFonts w:ascii="Arial" w:hAnsi="Arial" w:cs="Arial"/>
          <w:b/>
          <w:bCs/>
          <w:sz w:val="28"/>
        </w:rPr>
        <w:tab/>
      </w:r>
      <w:r>
        <w:rPr>
          <w:rFonts w:ascii="Arial" w:hAnsi="Arial" w:cs="Arial"/>
          <w:b/>
          <w:bCs/>
          <w:sz w:val="28"/>
        </w:rPr>
        <w:tab/>
        <w:t xml:space="preserve">     </w:t>
      </w:r>
      <w:r>
        <w:rPr>
          <w:rFonts w:ascii="Arial" w:hAnsi="Arial" w:cs="Arial"/>
          <w:b/>
          <w:bCs/>
          <w:sz w:val="28"/>
        </w:rPr>
        <w:tab/>
      </w:r>
      <w:r w:rsidRPr="00891632">
        <w:rPr>
          <w:rFonts w:ascii="Arial" w:hAnsi="Arial" w:cs="Arial"/>
          <w:b/>
          <w:bCs/>
          <w:sz w:val="28"/>
        </w:rPr>
        <w:t>R1-</w:t>
      </w:r>
      <w:r w:rsidR="00891632" w:rsidRPr="00891632">
        <w:rPr>
          <w:rFonts w:ascii="Arial" w:hAnsi="Arial" w:cs="Arial"/>
          <w:color w:val="000000"/>
          <w:sz w:val="16"/>
          <w:szCs w:val="16"/>
        </w:rPr>
        <w:t xml:space="preserve"> </w:t>
      </w:r>
      <w:r w:rsidR="00891632" w:rsidRPr="00891632">
        <w:rPr>
          <w:rFonts w:ascii="Arial" w:hAnsi="Arial" w:cs="Arial"/>
          <w:b/>
          <w:bCs/>
          <w:sz w:val="28"/>
        </w:rPr>
        <w:t>2407421</w:t>
      </w:r>
    </w:p>
    <w:p w14:paraId="58274792" w14:textId="77777777" w:rsidR="004758B6" w:rsidRDefault="00000000">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Maastricht, 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23</w:t>
      </w:r>
      <w:r>
        <w:rPr>
          <w:rFonts w:ascii="Arial" w:hAnsi="Arial" w:cs="Arial"/>
          <w:b/>
          <w:bCs/>
          <w:sz w:val="28"/>
          <w:vertAlign w:val="superscript"/>
        </w:rPr>
        <w:t>rd</w:t>
      </w:r>
      <w:r>
        <w:rPr>
          <w:rFonts w:ascii="Arial" w:eastAsia="MS Mincho" w:hAnsi="Arial" w:cs="Arial"/>
          <w:b/>
          <w:bCs/>
          <w:sz w:val="28"/>
          <w:lang w:eastAsia="ja-JP"/>
        </w:rPr>
        <w:t>, 2024</w:t>
      </w:r>
    </w:p>
    <w:p w14:paraId="75F19C34" w14:textId="77777777" w:rsidR="004758B6" w:rsidRDefault="00000000">
      <w:pPr>
        <w:tabs>
          <w:tab w:val="left" w:pos="1985"/>
        </w:tabs>
        <w:jc w:val="both"/>
        <w:rPr>
          <w:rFonts w:ascii="Arial" w:hAnsi="Arial"/>
          <w:sz w:val="24"/>
        </w:rPr>
      </w:pPr>
      <w:r>
        <w:rPr>
          <w:rFonts w:ascii="Arial" w:hAnsi="Arial"/>
          <w:b/>
          <w:sz w:val="24"/>
        </w:rPr>
        <w:t>Agenda item:</w:t>
      </w:r>
      <w:r>
        <w:rPr>
          <w:rFonts w:ascii="Arial" w:hAnsi="Arial"/>
          <w:sz w:val="24"/>
        </w:rPr>
        <w:tab/>
      </w:r>
      <w:bookmarkStart w:id="1" w:name="Source"/>
      <w:bookmarkEnd w:id="1"/>
      <w:r>
        <w:rPr>
          <w:rFonts w:ascii="Arial" w:hAnsi="Arial"/>
          <w:sz w:val="24"/>
        </w:rPr>
        <w:t>7</w:t>
      </w:r>
    </w:p>
    <w:p w14:paraId="510273DF" w14:textId="77777777" w:rsidR="004758B6" w:rsidRDefault="00000000">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Moderator (Qualcomm)</w:t>
      </w:r>
    </w:p>
    <w:p w14:paraId="66240AF3" w14:textId="77777777" w:rsidR="004758B6" w:rsidRDefault="00000000">
      <w:pPr>
        <w:ind w:left="1988" w:hanging="1988"/>
        <w:jc w:val="both"/>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r>
      <w:r>
        <w:rPr>
          <w:rFonts w:ascii="Arial" w:hAnsi="Arial"/>
          <w:sz w:val="24"/>
        </w:rPr>
        <w:t xml:space="preserve">Moderator summary #2 of </w:t>
      </w:r>
      <w:r>
        <w:rPr>
          <w:rFonts w:ascii="Arial" w:hAnsi="Arial"/>
          <w:color w:val="000000" w:themeColor="text1"/>
          <w:sz w:val="24"/>
          <w:szCs w:val="24"/>
        </w:rPr>
        <w:t xml:space="preserve">clarification on PTRS with 2 CWs PDSCH and PUSCH retransmission </w:t>
      </w:r>
    </w:p>
    <w:p w14:paraId="0FC4FD6C" w14:textId="77777777" w:rsidR="004758B6" w:rsidRDefault="00000000">
      <w:pPr>
        <w:ind w:left="1988" w:hanging="1988"/>
        <w:jc w:val="both"/>
        <w:rPr>
          <w:rFonts w:ascii="Arial" w:hAnsi="Arial"/>
          <w:sz w:val="24"/>
        </w:rPr>
      </w:pPr>
      <w:r>
        <w:rPr>
          <w:rFonts w:ascii="Arial" w:hAnsi="Arial"/>
          <w:b/>
          <w:sz w:val="24"/>
        </w:rPr>
        <w:t>Document for:</w:t>
      </w:r>
      <w:r>
        <w:rPr>
          <w:rFonts w:ascii="Arial" w:hAnsi="Arial"/>
          <w:sz w:val="24"/>
        </w:rPr>
        <w:tab/>
      </w:r>
      <w:bookmarkStart w:id="2" w:name="DocumentFor"/>
      <w:bookmarkEnd w:id="2"/>
      <w:r>
        <w:rPr>
          <w:rFonts w:ascii="Arial" w:hAnsi="Arial"/>
          <w:sz w:val="24"/>
        </w:rPr>
        <w:t>Discussion/Decision</w:t>
      </w:r>
    </w:p>
    <w:p w14:paraId="133AD65A" w14:textId="77777777" w:rsidR="004758B6" w:rsidRDefault="00000000">
      <w:pPr>
        <w:pStyle w:val="Heading1"/>
        <w:jc w:val="both"/>
      </w:pPr>
      <w:bookmarkStart w:id="3" w:name="_Ref465963108"/>
      <w:r>
        <w:t>Introduction</w:t>
      </w:r>
      <w:bookmarkEnd w:id="0"/>
      <w:bookmarkEnd w:id="3"/>
    </w:p>
    <w:p w14:paraId="533E046D" w14:textId="77777777" w:rsidR="004758B6" w:rsidRDefault="00000000">
      <w:pPr>
        <w:jc w:val="both"/>
      </w:pPr>
      <w:r>
        <w:t xml:space="preserve">It is identified the current specification is not crystal clear for PTRS with 2 CWs PDSCH and PUSCH. To align the common understanding among companies, the ambiguity/misalignment in current specification is listed in this moderator summary and solutions to remove the ambiguity are discussed. </w:t>
      </w:r>
    </w:p>
    <w:p w14:paraId="0D3C9940" w14:textId="77777777" w:rsidR="004758B6" w:rsidRDefault="00000000">
      <w:pPr>
        <w:pStyle w:val="Heading1"/>
      </w:pPr>
      <w:bookmarkStart w:id="4" w:name="_Ref173604061"/>
      <w:bookmarkStart w:id="5" w:name="_Ref471731770"/>
      <w:bookmarkStart w:id="6" w:name="_Ref525738522"/>
      <w:bookmarkStart w:id="7" w:name="_Ref462669569"/>
      <w:r>
        <w:t>The ordering to perform PTRS CW association and time density determination for PDSCH/PUSCH with 2 CWs</w:t>
      </w:r>
      <w:bookmarkEnd w:id="4"/>
    </w:p>
    <w:p w14:paraId="68CFE2F2" w14:textId="77777777" w:rsidR="004758B6" w:rsidRDefault="00000000">
      <w:pPr>
        <w:rPr>
          <w:lang w:val="en-GB"/>
        </w:rPr>
      </w:pPr>
      <w:r>
        <w:rPr>
          <w:lang w:val="en-GB"/>
        </w:rPr>
        <w:t>To us, it is obvious that for a PDSCH or PUSCH with 2 CWs, the following two step approach (</w:t>
      </w:r>
      <w:r>
        <w:rPr>
          <w:b/>
          <w:bCs/>
          <w:lang w:val="en-GB"/>
        </w:rPr>
        <w:t>denote as approach A</w:t>
      </w:r>
      <w:r>
        <w:rPr>
          <w:lang w:val="en-GB"/>
        </w:rPr>
        <w:t xml:space="preserve">) is performed for single-port PTRS. </w:t>
      </w:r>
    </w:p>
    <w:p w14:paraId="0A424EAF" w14:textId="77777777" w:rsidR="004758B6" w:rsidRDefault="00000000">
      <w:pPr>
        <w:rPr>
          <w:lang w:val="en-GB"/>
        </w:rPr>
      </w:pPr>
      <w:r>
        <w:rPr>
          <w:lang w:val="en-GB"/>
        </w:rPr>
        <w:t xml:space="preserve">Approach A: Determine PTRS to CW association first, then determine the MCS for PTRS time density. </w:t>
      </w:r>
    </w:p>
    <w:p w14:paraId="2CD15137" w14:textId="77777777" w:rsidR="004758B6" w:rsidRDefault="00000000">
      <w:pPr>
        <w:pStyle w:val="ListParagraph"/>
        <w:numPr>
          <w:ilvl w:val="0"/>
          <w:numId w:val="6"/>
        </w:numPr>
        <w:rPr>
          <w:rFonts w:ascii="Times New Roman" w:hAnsi="Times New Roman"/>
          <w:sz w:val="20"/>
          <w:szCs w:val="20"/>
          <w:lang w:val="en-GB"/>
        </w:rPr>
      </w:pPr>
      <w:r>
        <w:rPr>
          <w:rFonts w:ascii="Times New Roman" w:hAnsi="Times New Roman"/>
          <w:sz w:val="20"/>
          <w:szCs w:val="20"/>
          <w:lang w:val="en-GB"/>
        </w:rPr>
        <w:t>Step 1: Determine the PTRS is associated with the CW with higher MCS.</w:t>
      </w:r>
    </w:p>
    <w:p w14:paraId="752562F3" w14:textId="77777777" w:rsidR="004758B6" w:rsidRDefault="00000000">
      <w:pPr>
        <w:pStyle w:val="ListParagraph"/>
        <w:numPr>
          <w:ilvl w:val="1"/>
          <w:numId w:val="6"/>
        </w:numPr>
        <w:rPr>
          <w:rFonts w:ascii="Times New Roman" w:hAnsi="Times New Roman"/>
          <w:sz w:val="20"/>
          <w:szCs w:val="20"/>
          <w:lang w:val="en-GB"/>
        </w:rPr>
      </w:pPr>
      <w:r>
        <w:rPr>
          <w:rFonts w:ascii="Times New Roman" w:hAnsi="Times New Roman"/>
          <w:sz w:val="20"/>
          <w:szCs w:val="20"/>
          <w:lang w:val="en-GB"/>
        </w:rPr>
        <w:t xml:space="preserve">For PUSCH, </w:t>
      </w:r>
      <w:r>
        <w:rPr>
          <w:rFonts w:ascii="Times New Roman" w:hAnsi="Times New Roman"/>
          <w:color w:val="0070C0"/>
          <w:sz w:val="20"/>
          <w:szCs w:val="20"/>
          <w:lang w:val="en-GB"/>
        </w:rPr>
        <w:t>in case of retransmission regardless with reserved or non-reserved MCS</w:t>
      </w:r>
      <w:r>
        <w:rPr>
          <w:rFonts w:ascii="Times New Roman" w:hAnsi="Times New Roman"/>
          <w:sz w:val="20"/>
          <w:szCs w:val="20"/>
          <w:lang w:val="en-GB"/>
        </w:rPr>
        <w:t xml:space="preserve">, the </w:t>
      </w:r>
      <w:r>
        <w:rPr>
          <w:rFonts w:ascii="Times New Roman" w:hAnsi="Times New Roman"/>
          <w:color w:val="7030A0"/>
          <w:sz w:val="20"/>
          <w:szCs w:val="20"/>
          <w:lang w:val="en-GB"/>
        </w:rPr>
        <w:t xml:space="preserve">initial </w:t>
      </w:r>
      <w:r>
        <w:rPr>
          <w:rFonts w:ascii="Times New Roman" w:hAnsi="Times New Roman"/>
          <w:sz w:val="20"/>
          <w:szCs w:val="20"/>
          <w:lang w:val="en-GB"/>
        </w:rPr>
        <w:t xml:space="preserve">MCS is used in this determination. </w:t>
      </w:r>
    </w:p>
    <w:p w14:paraId="3651F86B" w14:textId="77777777" w:rsidR="004758B6" w:rsidRDefault="00000000">
      <w:pPr>
        <w:pStyle w:val="ListParagraph"/>
        <w:numPr>
          <w:ilvl w:val="1"/>
          <w:numId w:val="6"/>
        </w:numPr>
        <w:rPr>
          <w:rFonts w:ascii="Times New Roman" w:hAnsi="Times New Roman"/>
          <w:sz w:val="20"/>
          <w:szCs w:val="20"/>
          <w:lang w:val="en-GB"/>
        </w:rPr>
      </w:pPr>
      <w:r>
        <w:rPr>
          <w:rFonts w:ascii="Times New Roman" w:hAnsi="Times New Roman"/>
          <w:sz w:val="20"/>
          <w:szCs w:val="20"/>
          <w:lang w:val="en-GB"/>
        </w:rPr>
        <w:t xml:space="preserve">For PDSCH, </w:t>
      </w:r>
      <w:r>
        <w:rPr>
          <w:rFonts w:ascii="Times New Roman" w:hAnsi="Times New Roman"/>
          <w:color w:val="0070C0"/>
          <w:sz w:val="20"/>
          <w:szCs w:val="20"/>
          <w:lang w:val="en-GB"/>
        </w:rPr>
        <w:t>in case of retransmission regardless with reserved or non-reserved MCS</w:t>
      </w:r>
      <w:r>
        <w:rPr>
          <w:rFonts w:ascii="Times New Roman" w:hAnsi="Times New Roman"/>
          <w:sz w:val="20"/>
          <w:szCs w:val="20"/>
          <w:lang w:val="en-GB"/>
        </w:rPr>
        <w:t xml:space="preserve">, the </w:t>
      </w:r>
      <w:r>
        <w:rPr>
          <w:rFonts w:ascii="Times New Roman" w:hAnsi="Times New Roman"/>
          <w:color w:val="C45911" w:themeColor="accent2" w:themeShade="BF"/>
          <w:sz w:val="20"/>
          <w:szCs w:val="20"/>
          <w:lang w:val="en-GB"/>
        </w:rPr>
        <w:t xml:space="preserve">actual </w:t>
      </w:r>
      <w:r>
        <w:rPr>
          <w:rFonts w:ascii="Times New Roman" w:hAnsi="Times New Roman"/>
          <w:sz w:val="20"/>
          <w:szCs w:val="20"/>
          <w:lang w:val="en-GB"/>
        </w:rPr>
        <w:t xml:space="preserve">MCS is used in this determination. </w:t>
      </w:r>
    </w:p>
    <w:p w14:paraId="01B3E955" w14:textId="77777777" w:rsidR="004758B6" w:rsidRDefault="00000000">
      <w:pPr>
        <w:pStyle w:val="ListParagraph"/>
        <w:numPr>
          <w:ilvl w:val="0"/>
          <w:numId w:val="6"/>
        </w:numPr>
        <w:rPr>
          <w:rFonts w:ascii="Times New Roman" w:hAnsi="Times New Roman"/>
          <w:sz w:val="20"/>
          <w:szCs w:val="20"/>
          <w:lang w:val="en-GB"/>
        </w:rPr>
      </w:pPr>
      <w:r>
        <w:rPr>
          <w:rFonts w:ascii="Times New Roman" w:hAnsi="Times New Roman"/>
          <w:sz w:val="20"/>
          <w:szCs w:val="20"/>
          <w:lang w:val="en-GB"/>
        </w:rPr>
        <w:t>Step 2: Use the MCS of associated CW to determine the PTRS time density.</w:t>
      </w:r>
    </w:p>
    <w:p w14:paraId="6E0B07CA" w14:textId="77777777" w:rsidR="004758B6" w:rsidRDefault="00000000">
      <w:pPr>
        <w:pStyle w:val="ListParagraph"/>
        <w:numPr>
          <w:ilvl w:val="1"/>
          <w:numId w:val="6"/>
        </w:numPr>
        <w:rPr>
          <w:rFonts w:ascii="Times New Roman" w:hAnsi="Times New Roman"/>
          <w:sz w:val="20"/>
          <w:szCs w:val="20"/>
          <w:lang w:val="en-GB"/>
        </w:rPr>
      </w:pPr>
      <w:r>
        <w:rPr>
          <w:rFonts w:ascii="Times New Roman" w:hAnsi="Times New Roman"/>
          <w:color w:val="00B050"/>
          <w:sz w:val="20"/>
          <w:szCs w:val="20"/>
          <w:lang w:val="en-GB"/>
        </w:rPr>
        <w:t>In case of retransmission with reserved MCS</w:t>
      </w:r>
      <w:r>
        <w:rPr>
          <w:rFonts w:ascii="Times New Roman" w:hAnsi="Times New Roman"/>
          <w:sz w:val="20"/>
          <w:szCs w:val="20"/>
          <w:lang w:val="en-GB"/>
        </w:rPr>
        <w:t xml:space="preserve">, the </w:t>
      </w:r>
      <w:r>
        <w:rPr>
          <w:rFonts w:ascii="Times New Roman" w:hAnsi="Times New Roman"/>
          <w:color w:val="7030A0"/>
          <w:sz w:val="20"/>
          <w:szCs w:val="20"/>
          <w:lang w:val="en-GB"/>
        </w:rPr>
        <w:t xml:space="preserve">initial </w:t>
      </w:r>
      <w:r>
        <w:rPr>
          <w:rFonts w:ascii="Times New Roman" w:hAnsi="Times New Roman"/>
          <w:sz w:val="20"/>
          <w:szCs w:val="20"/>
          <w:lang w:val="en-GB"/>
        </w:rPr>
        <w:t xml:space="preserve">MCS is used in this determination </w:t>
      </w:r>
    </w:p>
    <w:p w14:paraId="3836CD24" w14:textId="77777777" w:rsidR="004758B6" w:rsidRDefault="004758B6">
      <w:pPr>
        <w:pStyle w:val="ListParagraph"/>
        <w:rPr>
          <w:rFonts w:ascii="Times New Roman" w:hAnsi="Times New Roman"/>
          <w:sz w:val="20"/>
          <w:szCs w:val="20"/>
          <w:lang w:val="en-GB"/>
        </w:rPr>
      </w:pPr>
    </w:p>
    <w:p w14:paraId="2968B91E" w14:textId="77777777" w:rsidR="004758B6" w:rsidRDefault="00000000">
      <w:pPr>
        <w:rPr>
          <w:lang w:val="en-GB"/>
        </w:rPr>
      </w:pPr>
      <w:r>
        <w:rPr>
          <w:lang w:val="en-GB"/>
        </w:rPr>
        <w:t>We want to clarify that RAN1 has common understanding the above two-step approach is the correct interpretation of current spec, because, hypothetically, another approach (</w:t>
      </w:r>
      <w:r>
        <w:rPr>
          <w:b/>
          <w:bCs/>
          <w:lang w:val="en-GB"/>
        </w:rPr>
        <w:t>denote as approach B</w:t>
      </w:r>
      <w:r>
        <w:rPr>
          <w:lang w:val="en-GB"/>
        </w:rPr>
        <w:t xml:space="preserve">) could be the following for single-port PTRS. </w:t>
      </w:r>
    </w:p>
    <w:p w14:paraId="319281FA" w14:textId="77777777" w:rsidR="004758B6" w:rsidRDefault="00000000">
      <w:pPr>
        <w:rPr>
          <w:lang w:val="en-GB"/>
        </w:rPr>
      </w:pPr>
      <w:r>
        <w:rPr>
          <w:lang w:val="en-GB"/>
        </w:rPr>
        <w:t xml:space="preserve">Approach B: Determine the MCS for PTRS time density first, then determine PTRS to CW association. </w:t>
      </w:r>
    </w:p>
    <w:p w14:paraId="5C9111A2" w14:textId="77777777" w:rsidR="004758B6" w:rsidRDefault="00000000">
      <w:pPr>
        <w:pStyle w:val="ListParagraph"/>
        <w:numPr>
          <w:ilvl w:val="0"/>
          <w:numId w:val="6"/>
        </w:numPr>
        <w:rPr>
          <w:rFonts w:ascii="Times New Roman" w:hAnsi="Times New Roman"/>
          <w:sz w:val="20"/>
          <w:szCs w:val="20"/>
          <w:lang w:val="en-GB"/>
        </w:rPr>
      </w:pPr>
      <w:r>
        <w:rPr>
          <w:rFonts w:ascii="Times New Roman" w:hAnsi="Times New Roman"/>
          <w:sz w:val="20"/>
          <w:szCs w:val="20"/>
          <w:lang w:val="en-GB"/>
        </w:rPr>
        <w:t>Step 1: Determine the MCS for each CW used in next step (step 2).</w:t>
      </w:r>
    </w:p>
    <w:p w14:paraId="445E6E6F" w14:textId="77777777" w:rsidR="004758B6" w:rsidRDefault="00000000">
      <w:pPr>
        <w:pStyle w:val="ListParagraph"/>
        <w:numPr>
          <w:ilvl w:val="1"/>
          <w:numId w:val="6"/>
        </w:numPr>
        <w:rPr>
          <w:rFonts w:ascii="Times New Roman" w:hAnsi="Times New Roman"/>
          <w:sz w:val="20"/>
          <w:szCs w:val="20"/>
          <w:lang w:val="en-GB"/>
        </w:rPr>
      </w:pPr>
      <w:r>
        <w:rPr>
          <w:rFonts w:ascii="Times New Roman" w:hAnsi="Times New Roman"/>
          <w:color w:val="00B050"/>
          <w:sz w:val="20"/>
          <w:szCs w:val="20"/>
          <w:lang w:val="en-GB"/>
        </w:rPr>
        <w:t>In case of retransmission with reserved MCS</w:t>
      </w:r>
      <w:r>
        <w:rPr>
          <w:rFonts w:ascii="Times New Roman" w:hAnsi="Times New Roman"/>
          <w:sz w:val="20"/>
          <w:szCs w:val="20"/>
          <w:lang w:val="en-GB"/>
        </w:rPr>
        <w:t xml:space="preserve">, the initial MCS is used in this determination </w:t>
      </w:r>
    </w:p>
    <w:p w14:paraId="75BF7874" w14:textId="77777777" w:rsidR="004758B6" w:rsidRDefault="00000000">
      <w:pPr>
        <w:pStyle w:val="ListParagraph"/>
        <w:numPr>
          <w:ilvl w:val="0"/>
          <w:numId w:val="6"/>
        </w:numPr>
        <w:rPr>
          <w:rFonts w:ascii="Times New Roman" w:hAnsi="Times New Roman"/>
          <w:sz w:val="20"/>
          <w:szCs w:val="20"/>
          <w:lang w:val="en-GB"/>
        </w:rPr>
      </w:pPr>
      <w:r>
        <w:rPr>
          <w:rFonts w:ascii="Times New Roman" w:hAnsi="Times New Roman"/>
          <w:sz w:val="20"/>
          <w:szCs w:val="20"/>
          <w:lang w:val="en-GB"/>
        </w:rPr>
        <w:t>Step 2: Determine the PTRS is associated with the CW with higher MCS.</w:t>
      </w:r>
    </w:p>
    <w:p w14:paraId="4D7CFC11" w14:textId="77777777" w:rsidR="004758B6" w:rsidRDefault="00000000">
      <w:pPr>
        <w:pStyle w:val="ListParagraph"/>
        <w:numPr>
          <w:ilvl w:val="1"/>
          <w:numId w:val="6"/>
        </w:numPr>
        <w:rPr>
          <w:rFonts w:ascii="Times New Roman" w:hAnsi="Times New Roman"/>
          <w:sz w:val="20"/>
          <w:szCs w:val="20"/>
          <w:lang w:val="en-GB"/>
        </w:rPr>
      </w:pPr>
      <w:r>
        <w:rPr>
          <w:rFonts w:ascii="Times New Roman" w:hAnsi="Times New Roman"/>
          <w:sz w:val="20"/>
          <w:szCs w:val="20"/>
          <w:lang w:val="en-GB"/>
        </w:rPr>
        <w:t xml:space="preserve">For PUSCH, </w:t>
      </w:r>
      <w:r>
        <w:rPr>
          <w:rFonts w:ascii="Times New Roman" w:hAnsi="Times New Roman"/>
          <w:color w:val="0070C0"/>
          <w:sz w:val="20"/>
          <w:szCs w:val="20"/>
          <w:lang w:val="en-GB"/>
        </w:rPr>
        <w:t>in case of retransmission regardless with reserved or non-reserved MCS</w:t>
      </w:r>
      <w:r>
        <w:rPr>
          <w:rFonts w:ascii="Times New Roman" w:hAnsi="Times New Roman"/>
          <w:sz w:val="20"/>
          <w:szCs w:val="20"/>
          <w:lang w:val="en-GB"/>
        </w:rPr>
        <w:t xml:space="preserve">, the </w:t>
      </w:r>
      <w:r>
        <w:rPr>
          <w:rFonts w:ascii="Times New Roman" w:hAnsi="Times New Roman"/>
          <w:color w:val="7030A0"/>
          <w:sz w:val="20"/>
          <w:szCs w:val="20"/>
          <w:lang w:val="en-GB"/>
        </w:rPr>
        <w:t>initial</w:t>
      </w:r>
      <w:r>
        <w:rPr>
          <w:rFonts w:ascii="Times New Roman" w:hAnsi="Times New Roman"/>
          <w:sz w:val="20"/>
          <w:szCs w:val="20"/>
          <w:lang w:val="en-GB"/>
        </w:rPr>
        <w:t xml:space="preserve"> MCS is used in this determination</w:t>
      </w:r>
    </w:p>
    <w:p w14:paraId="4EDEF0D1" w14:textId="77777777" w:rsidR="004758B6" w:rsidRDefault="00000000">
      <w:pPr>
        <w:pStyle w:val="ListParagraph"/>
        <w:numPr>
          <w:ilvl w:val="1"/>
          <w:numId w:val="6"/>
        </w:numPr>
        <w:rPr>
          <w:rFonts w:ascii="Times New Roman" w:hAnsi="Times New Roman"/>
          <w:sz w:val="20"/>
          <w:szCs w:val="20"/>
          <w:lang w:val="en-GB"/>
        </w:rPr>
      </w:pPr>
      <w:r>
        <w:rPr>
          <w:rFonts w:ascii="Times New Roman" w:hAnsi="Times New Roman"/>
          <w:sz w:val="20"/>
          <w:szCs w:val="20"/>
          <w:lang w:val="en-GB"/>
        </w:rPr>
        <w:t xml:space="preserve">For PDSCH, </w:t>
      </w:r>
      <w:r>
        <w:rPr>
          <w:rFonts w:ascii="Times New Roman" w:hAnsi="Times New Roman"/>
          <w:color w:val="0070C0"/>
          <w:sz w:val="20"/>
          <w:szCs w:val="20"/>
          <w:lang w:val="en-GB"/>
        </w:rPr>
        <w:t>in case of retransmission regardless with reserved or non-reserved MCS</w:t>
      </w:r>
      <w:r>
        <w:rPr>
          <w:rFonts w:ascii="Times New Roman" w:hAnsi="Times New Roman"/>
          <w:sz w:val="20"/>
          <w:szCs w:val="20"/>
          <w:lang w:val="en-GB"/>
        </w:rPr>
        <w:t xml:space="preserve">, the </w:t>
      </w:r>
      <w:r>
        <w:rPr>
          <w:rFonts w:ascii="Times New Roman" w:hAnsi="Times New Roman"/>
          <w:color w:val="C45911" w:themeColor="accent2" w:themeShade="BF"/>
          <w:sz w:val="20"/>
          <w:szCs w:val="20"/>
          <w:lang w:val="en-GB"/>
        </w:rPr>
        <w:t>actual</w:t>
      </w:r>
      <w:r>
        <w:rPr>
          <w:rFonts w:ascii="Times New Roman" w:hAnsi="Times New Roman"/>
          <w:color w:val="FF0000"/>
          <w:sz w:val="20"/>
          <w:szCs w:val="20"/>
          <w:lang w:val="en-GB"/>
        </w:rPr>
        <w:t xml:space="preserve"> </w:t>
      </w:r>
      <w:r>
        <w:rPr>
          <w:rFonts w:ascii="Times New Roman" w:hAnsi="Times New Roman"/>
          <w:sz w:val="20"/>
          <w:szCs w:val="20"/>
          <w:lang w:val="en-GB"/>
        </w:rPr>
        <w:t xml:space="preserve">MCS is used in this determination. </w:t>
      </w:r>
    </w:p>
    <w:p w14:paraId="59C95731" w14:textId="77777777" w:rsidR="004758B6" w:rsidRDefault="004758B6">
      <w:pPr>
        <w:rPr>
          <w:lang w:val="en-GB"/>
        </w:rPr>
      </w:pPr>
    </w:p>
    <w:p w14:paraId="1C22E7C4" w14:textId="77777777" w:rsidR="004758B6" w:rsidRDefault="00000000">
      <w:pPr>
        <w:rPr>
          <w:lang w:val="en-GB"/>
        </w:rPr>
      </w:pPr>
      <w:r>
        <w:rPr>
          <w:lang w:val="en-GB"/>
        </w:rPr>
        <w:t>One could notice the discrepancies of using initial MCS for retransmission, which are highlighted in different colours. There are two discrepancies:</w:t>
      </w:r>
    </w:p>
    <w:p w14:paraId="02221270" w14:textId="77777777" w:rsidR="004758B6" w:rsidRDefault="00000000">
      <w:pPr>
        <w:pStyle w:val="ListParagraph"/>
        <w:numPr>
          <w:ilvl w:val="0"/>
          <w:numId w:val="7"/>
        </w:numPr>
        <w:rPr>
          <w:rFonts w:ascii="Times New Roman" w:hAnsi="Times New Roman"/>
          <w:sz w:val="20"/>
          <w:szCs w:val="20"/>
          <w:lang w:val="en-GB"/>
        </w:rPr>
      </w:pPr>
      <w:r>
        <w:rPr>
          <w:rFonts w:ascii="Times New Roman" w:hAnsi="Times New Roman"/>
          <w:sz w:val="20"/>
          <w:szCs w:val="20"/>
          <w:lang w:val="en-GB"/>
        </w:rPr>
        <w:t xml:space="preserve">Discrepancy 1: DL uses actual MCS, while UL uses initial MCS, for PTRS to CW association determination in retransmission. Details are provided in Section </w:t>
      </w:r>
      <w:r>
        <w:rPr>
          <w:rFonts w:ascii="Times New Roman" w:hAnsi="Times New Roman"/>
          <w:sz w:val="20"/>
          <w:szCs w:val="20"/>
          <w:lang w:val="en-GB"/>
        </w:rPr>
        <w:fldChar w:fldCharType="begin"/>
      </w:r>
      <w:r>
        <w:rPr>
          <w:rFonts w:ascii="Times New Roman" w:hAnsi="Times New Roman"/>
          <w:sz w:val="20"/>
          <w:szCs w:val="20"/>
          <w:lang w:val="en-GB"/>
        </w:rPr>
        <w:instrText xml:space="preserve"> REF _Ref173602538 \r \h  \* MERGEFORMAT </w:instrText>
      </w:r>
      <w:r>
        <w:rPr>
          <w:rFonts w:ascii="Times New Roman" w:hAnsi="Times New Roman"/>
          <w:sz w:val="20"/>
          <w:szCs w:val="20"/>
          <w:lang w:val="en-GB"/>
        </w:rPr>
      </w:r>
      <w:r>
        <w:rPr>
          <w:rFonts w:ascii="Times New Roman" w:hAnsi="Times New Roman"/>
          <w:sz w:val="20"/>
          <w:szCs w:val="20"/>
          <w:lang w:val="en-GB"/>
        </w:rPr>
        <w:fldChar w:fldCharType="separate"/>
      </w:r>
      <w:r>
        <w:rPr>
          <w:rFonts w:ascii="Times New Roman" w:hAnsi="Times New Roman"/>
          <w:sz w:val="20"/>
          <w:szCs w:val="20"/>
          <w:lang w:val="en-GB"/>
        </w:rPr>
        <w:t>4</w:t>
      </w:r>
      <w:r>
        <w:rPr>
          <w:rFonts w:ascii="Times New Roman" w:hAnsi="Times New Roman"/>
          <w:sz w:val="20"/>
          <w:szCs w:val="20"/>
          <w:lang w:val="en-GB"/>
        </w:rPr>
        <w:fldChar w:fldCharType="end"/>
      </w:r>
      <w:r>
        <w:rPr>
          <w:rFonts w:ascii="Times New Roman" w:hAnsi="Times New Roman"/>
          <w:sz w:val="20"/>
          <w:szCs w:val="20"/>
          <w:lang w:val="en-GB"/>
        </w:rPr>
        <w:t>.</w:t>
      </w:r>
    </w:p>
    <w:p w14:paraId="702A0A0F" w14:textId="77777777" w:rsidR="004758B6" w:rsidRDefault="00000000">
      <w:pPr>
        <w:pStyle w:val="ListParagraph"/>
        <w:numPr>
          <w:ilvl w:val="0"/>
          <w:numId w:val="7"/>
        </w:numPr>
        <w:rPr>
          <w:rFonts w:ascii="Times New Roman" w:hAnsi="Times New Roman"/>
          <w:sz w:val="20"/>
          <w:szCs w:val="20"/>
          <w:lang w:val="en-GB"/>
        </w:rPr>
      </w:pPr>
      <w:r>
        <w:rPr>
          <w:rFonts w:ascii="Times New Roman" w:hAnsi="Times New Roman"/>
          <w:sz w:val="20"/>
          <w:szCs w:val="20"/>
          <w:lang w:val="en-GB"/>
        </w:rPr>
        <w:lastRenderedPageBreak/>
        <w:t xml:space="preserve">Discrepancy 2: the conditions to use initial MCS are different between PTRS to CW association and PTRS time density determination.  Details are provided in Section </w:t>
      </w:r>
      <w:r>
        <w:rPr>
          <w:rFonts w:ascii="Times New Roman" w:hAnsi="Times New Roman"/>
          <w:sz w:val="20"/>
          <w:szCs w:val="20"/>
          <w:lang w:val="en-GB"/>
        </w:rPr>
        <w:fldChar w:fldCharType="begin"/>
      </w:r>
      <w:r>
        <w:rPr>
          <w:rFonts w:ascii="Times New Roman" w:hAnsi="Times New Roman"/>
          <w:sz w:val="20"/>
          <w:szCs w:val="20"/>
          <w:lang w:val="en-GB"/>
        </w:rPr>
        <w:instrText xml:space="preserve"> REF _Ref173602528 \r \h  \* MERGEFORMAT </w:instrText>
      </w:r>
      <w:r>
        <w:rPr>
          <w:rFonts w:ascii="Times New Roman" w:hAnsi="Times New Roman"/>
          <w:sz w:val="20"/>
          <w:szCs w:val="20"/>
          <w:lang w:val="en-GB"/>
        </w:rPr>
      </w:r>
      <w:r>
        <w:rPr>
          <w:rFonts w:ascii="Times New Roman" w:hAnsi="Times New Roman"/>
          <w:sz w:val="20"/>
          <w:szCs w:val="20"/>
          <w:lang w:val="en-GB"/>
        </w:rPr>
        <w:fldChar w:fldCharType="separate"/>
      </w:r>
      <w:r>
        <w:rPr>
          <w:rFonts w:ascii="Times New Roman" w:hAnsi="Times New Roman"/>
          <w:sz w:val="20"/>
          <w:szCs w:val="20"/>
          <w:lang w:val="en-GB"/>
        </w:rPr>
        <w:t>3</w:t>
      </w:r>
      <w:r>
        <w:rPr>
          <w:rFonts w:ascii="Times New Roman" w:hAnsi="Times New Roman"/>
          <w:sz w:val="20"/>
          <w:szCs w:val="20"/>
          <w:lang w:val="en-GB"/>
        </w:rPr>
        <w:fldChar w:fldCharType="end"/>
      </w:r>
      <w:r>
        <w:rPr>
          <w:rFonts w:ascii="Times New Roman" w:hAnsi="Times New Roman"/>
          <w:sz w:val="20"/>
          <w:szCs w:val="20"/>
          <w:lang w:val="en-GB"/>
        </w:rPr>
        <w:t xml:space="preserve">. </w:t>
      </w:r>
    </w:p>
    <w:p w14:paraId="17D0C436" w14:textId="77777777" w:rsidR="004758B6" w:rsidRDefault="00000000">
      <w:pPr>
        <w:rPr>
          <w:lang w:val="en-GB"/>
        </w:rPr>
      </w:pPr>
      <w:r>
        <w:rPr>
          <w:lang w:val="en-GB"/>
        </w:rPr>
        <w:t xml:space="preserve">Due to these discrepancies, it is identified </w:t>
      </w:r>
      <w:r>
        <w:t xml:space="preserve">that in some corner cases of retransmission, approach A and B would lead to different UE behavior. In the following example, for PUSCH retransmission, Approach A first determines PTRS associates with CW1 for in the retransmission. Then it follows current specification to use initial MCS 21 because the CW1 retransmission is with reserved MCS 31. Approach B picks a larger MCS between two CWs. For CW0, it is retransmission but not with reserved MCS. Therefore, Approach B thinks MCS 22 is with CW0. For CW1, it is retransmission and with reserved MCS. Therefore, Approach B think MCS 21 is with CW1. Comparing CW0 with MCS 22 and CW1 with MCS 21, approach B pick larger MCS as 22 to decide MCS density.  </w:t>
      </w:r>
    </w:p>
    <w:tbl>
      <w:tblPr>
        <w:tblStyle w:val="TableGrid"/>
        <w:tblW w:w="0" w:type="auto"/>
        <w:tblLook w:val="04A0" w:firstRow="1" w:lastRow="0" w:firstColumn="1" w:lastColumn="0" w:noHBand="0" w:noVBand="1"/>
      </w:tblPr>
      <w:tblGrid>
        <w:gridCol w:w="1992"/>
        <w:gridCol w:w="793"/>
        <w:gridCol w:w="810"/>
        <w:gridCol w:w="4374"/>
        <w:gridCol w:w="1993"/>
      </w:tblGrid>
      <w:tr w:rsidR="004758B6" w14:paraId="2E81440A" w14:textId="77777777">
        <w:tc>
          <w:tcPr>
            <w:tcW w:w="1992" w:type="dxa"/>
          </w:tcPr>
          <w:p w14:paraId="3F03FF3E" w14:textId="77777777" w:rsidR="004758B6" w:rsidRDefault="004758B6">
            <w:pPr>
              <w:spacing w:before="0" w:after="0"/>
            </w:pPr>
          </w:p>
        </w:tc>
        <w:tc>
          <w:tcPr>
            <w:tcW w:w="793" w:type="dxa"/>
          </w:tcPr>
          <w:p w14:paraId="1763CD22" w14:textId="77777777" w:rsidR="004758B6" w:rsidRDefault="00000000">
            <w:pPr>
              <w:spacing w:before="0" w:after="0"/>
            </w:pPr>
            <w:r>
              <w:t>CW0</w:t>
            </w:r>
          </w:p>
        </w:tc>
        <w:tc>
          <w:tcPr>
            <w:tcW w:w="810" w:type="dxa"/>
          </w:tcPr>
          <w:p w14:paraId="6AC1627F" w14:textId="77777777" w:rsidR="004758B6" w:rsidRDefault="00000000">
            <w:pPr>
              <w:spacing w:before="0" w:after="0"/>
            </w:pPr>
            <w:r>
              <w:t>CW1</w:t>
            </w:r>
          </w:p>
        </w:tc>
        <w:tc>
          <w:tcPr>
            <w:tcW w:w="4374" w:type="dxa"/>
          </w:tcPr>
          <w:p w14:paraId="17EC977A" w14:textId="77777777" w:rsidR="004758B6" w:rsidRDefault="00000000">
            <w:pPr>
              <w:spacing w:before="0" w:after="0"/>
            </w:pPr>
            <w:r>
              <w:t>Time density</w:t>
            </w:r>
          </w:p>
        </w:tc>
        <w:tc>
          <w:tcPr>
            <w:tcW w:w="1993" w:type="dxa"/>
          </w:tcPr>
          <w:p w14:paraId="6A7BE807" w14:textId="77777777" w:rsidR="004758B6" w:rsidRDefault="00000000">
            <w:pPr>
              <w:spacing w:before="0" w:after="0"/>
            </w:pPr>
            <w:r>
              <w:t>PTRS association</w:t>
            </w:r>
          </w:p>
        </w:tc>
      </w:tr>
      <w:tr w:rsidR="004758B6" w14:paraId="4F771C74" w14:textId="77777777">
        <w:tc>
          <w:tcPr>
            <w:tcW w:w="1992" w:type="dxa"/>
          </w:tcPr>
          <w:p w14:paraId="301BF1E6" w14:textId="77777777" w:rsidR="004758B6" w:rsidRDefault="00000000">
            <w:pPr>
              <w:spacing w:before="0" w:after="0"/>
            </w:pPr>
            <w:r>
              <w:t>Initial PUSCH transmission MCS</w:t>
            </w:r>
          </w:p>
        </w:tc>
        <w:tc>
          <w:tcPr>
            <w:tcW w:w="793" w:type="dxa"/>
          </w:tcPr>
          <w:p w14:paraId="3B1BDC39" w14:textId="77777777" w:rsidR="004758B6" w:rsidRDefault="00000000">
            <w:pPr>
              <w:spacing w:before="0" w:after="0"/>
            </w:pPr>
            <w:r>
              <w:t>20</w:t>
            </w:r>
          </w:p>
        </w:tc>
        <w:tc>
          <w:tcPr>
            <w:tcW w:w="810" w:type="dxa"/>
          </w:tcPr>
          <w:p w14:paraId="36DC3E1D" w14:textId="77777777" w:rsidR="004758B6" w:rsidRDefault="00000000">
            <w:pPr>
              <w:spacing w:before="0" w:after="0"/>
            </w:pPr>
            <w:r>
              <w:t>21</w:t>
            </w:r>
          </w:p>
        </w:tc>
        <w:tc>
          <w:tcPr>
            <w:tcW w:w="4374" w:type="dxa"/>
          </w:tcPr>
          <w:p w14:paraId="3A47BC59" w14:textId="77777777" w:rsidR="004758B6" w:rsidRDefault="00000000">
            <w:pPr>
              <w:spacing w:before="0" w:after="0"/>
            </w:pPr>
            <w:r>
              <w:t>CW1 MCS 21</w:t>
            </w:r>
          </w:p>
        </w:tc>
        <w:tc>
          <w:tcPr>
            <w:tcW w:w="1993" w:type="dxa"/>
          </w:tcPr>
          <w:p w14:paraId="6D1165B1" w14:textId="77777777" w:rsidR="004758B6" w:rsidRDefault="00000000">
            <w:pPr>
              <w:spacing w:before="0" w:after="0"/>
            </w:pPr>
            <w:r>
              <w:t>CW1</w:t>
            </w:r>
          </w:p>
        </w:tc>
      </w:tr>
      <w:tr w:rsidR="004758B6" w14:paraId="2F6A1101" w14:textId="77777777">
        <w:trPr>
          <w:trHeight w:val="939"/>
        </w:trPr>
        <w:tc>
          <w:tcPr>
            <w:tcW w:w="1992" w:type="dxa"/>
          </w:tcPr>
          <w:p w14:paraId="278B7060" w14:textId="77777777" w:rsidR="004758B6" w:rsidRDefault="00000000">
            <w:pPr>
              <w:spacing w:before="0" w:after="0"/>
            </w:pPr>
            <w:proofErr w:type="spellStart"/>
            <w:r>
              <w:t>ReTx</w:t>
            </w:r>
            <w:proofErr w:type="spellEnd"/>
            <w:r>
              <w:t xml:space="preserve"> PUSCH MCS</w:t>
            </w:r>
          </w:p>
        </w:tc>
        <w:tc>
          <w:tcPr>
            <w:tcW w:w="793" w:type="dxa"/>
          </w:tcPr>
          <w:p w14:paraId="2B62CB5F" w14:textId="77777777" w:rsidR="004758B6" w:rsidRDefault="00000000">
            <w:pPr>
              <w:spacing w:before="0" w:after="0"/>
            </w:pPr>
            <w:r>
              <w:t>22</w:t>
            </w:r>
          </w:p>
        </w:tc>
        <w:tc>
          <w:tcPr>
            <w:tcW w:w="810" w:type="dxa"/>
          </w:tcPr>
          <w:p w14:paraId="0820D3B5" w14:textId="77777777" w:rsidR="004758B6" w:rsidRDefault="00000000">
            <w:pPr>
              <w:spacing w:before="0" w:after="0"/>
            </w:pPr>
            <w:r>
              <w:t>21</w:t>
            </w:r>
          </w:p>
        </w:tc>
        <w:tc>
          <w:tcPr>
            <w:tcW w:w="4374" w:type="dxa"/>
          </w:tcPr>
          <w:p w14:paraId="6E667236" w14:textId="77777777" w:rsidR="004758B6" w:rsidRDefault="00000000">
            <w:pPr>
              <w:spacing w:before="0" w:after="0"/>
            </w:pPr>
            <w:r>
              <w:t>Approach A: Use CW1 initial MCS 21 to decide PTRS time density</w:t>
            </w:r>
          </w:p>
          <w:p w14:paraId="6B3868F1" w14:textId="77777777" w:rsidR="004758B6" w:rsidRDefault="00000000">
            <w:pPr>
              <w:spacing w:before="0" w:after="0"/>
            </w:pPr>
            <w:r>
              <w:t xml:space="preserve">Approach B: Use CW0 </w:t>
            </w:r>
            <w:proofErr w:type="spellStart"/>
            <w:r>
              <w:t>ReTx</w:t>
            </w:r>
            <w:proofErr w:type="spellEnd"/>
            <w:r>
              <w:t xml:space="preserve"> MCS 22 to decide PTRS time density</w:t>
            </w:r>
          </w:p>
        </w:tc>
        <w:tc>
          <w:tcPr>
            <w:tcW w:w="1993" w:type="dxa"/>
          </w:tcPr>
          <w:p w14:paraId="6E1ED1F8" w14:textId="77777777" w:rsidR="004758B6" w:rsidRDefault="00000000">
            <w:pPr>
              <w:spacing w:before="0" w:after="0"/>
            </w:pPr>
            <w:r>
              <w:t>CW1</w:t>
            </w:r>
          </w:p>
        </w:tc>
      </w:tr>
    </w:tbl>
    <w:p w14:paraId="131B1B39" w14:textId="77777777" w:rsidR="004758B6" w:rsidRDefault="004758B6">
      <w:pPr>
        <w:rPr>
          <w:lang w:val="en-GB"/>
        </w:rPr>
      </w:pPr>
    </w:p>
    <w:p w14:paraId="11F0149B" w14:textId="77777777" w:rsidR="004758B6" w:rsidRDefault="00000000">
      <w:pPr>
        <w:rPr>
          <w:lang w:val="en-GB"/>
        </w:rPr>
      </w:pPr>
      <w:r>
        <w:rPr>
          <w:noProof/>
        </w:rPr>
        <mc:AlternateContent>
          <mc:Choice Requires="wps">
            <w:drawing>
              <wp:anchor distT="45720" distB="45720" distL="114300" distR="114300" simplePos="0" relativeHeight="251663360" behindDoc="0" locked="0" layoutInCell="1" allowOverlap="1" wp14:anchorId="1EF4D371" wp14:editId="31606207">
                <wp:simplePos x="0" y="0"/>
                <wp:positionH relativeFrom="margin">
                  <wp:align>left</wp:align>
                </wp:positionH>
                <wp:positionV relativeFrom="paragraph">
                  <wp:posOffset>3865245</wp:posOffset>
                </wp:positionV>
                <wp:extent cx="6362700" cy="717550"/>
                <wp:effectExtent l="0" t="0" r="19050" b="25400"/>
                <wp:wrapSquare wrapText="bothSides"/>
                <wp:docPr id="17833945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0" cy="717550"/>
                        </a:xfrm>
                        <a:prstGeom prst="rect">
                          <a:avLst/>
                        </a:prstGeom>
                        <a:solidFill>
                          <a:srgbClr val="FFFFFF"/>
                        </a:solidFill>
                        <a:ln w="9525">
                          <a:solidFill>
                            <a:srgbClr val="000000"/>
                          </a:solidFill>
                          <a:miter lim="800000"/>
                        </a:ln>
                      </wps:spPr>
                      <wps:txbx>
                        <w:txbxContent>
                          <w:p w14:paraId="75DB6416" w14:textId="77777777" w:rsidR="004758B6" w:rsidRDefault="00000000">
                            <w:r>
                              <w:t xml:space="preserve">When a UE is scheduled to transmit PUSCH for retransmission, if the UE is scheduled with </w:t>
                            </w:r>
                            <w:r>
                              <w:rPr>
                                <w:i/>
                                <w:iCs/>
                              </w:rPr>
                              <w:t>I</w:t>
                            </w:r>
                            <w:r>
                              <w:rPr>
                                <w:i/>
                                <w:iCs/>
                                <w:vertAlign w:val="subscript"/>
                              </w:rPr>
                              <w:t>MCS</w:t>
                            </w:r>
                            <w:r>
                              <w:t xml:space="preserve"> &gt; </w:t>
                            </w:r>
                            <w:r>
                              <w:rPr>
                                <w:i/>
                                <w:iCs/>
                              </w:rPr>
                              <w:t>V</w:t>
                            </w:r>
                            <w:r>
                              <w:t xml:space="preserve">, where </w:t>
                            </w:r>
                            <w:r>
                              <w:rPr>
                                <w:i/>
                                <w:iCs/>
                              </w:rPr>
                              <w:t>V</w:t>
                            </w:r>
                            <w:r>
                              <w:t xml:space="preserve"> = 28 for MCS Table 5.1.3.1-1 and MCS Table 5.1.3.1-3 and </w:t>
                            </w:r>
                            <w:r>
                              <w:rPr>
                                <w:i/>
                                <w:iCs/>
                              </w:rPr>
                              <w:t>V</w:t>
                            </w:r>
                            <w:r>
                              <w:t xml:space="preserve"> = 27 for MCS Table 5.1.3.1-2, respectively, </w:t>
                            </w:r>
                            <w:r>
                              <w:rPr>
                                <w:color w:val="00B050"/>
                              </w:rPr>
                              <w:t>the MCS for PT-RS time-density determination is obtained from the DCI for the same transport block in the initial transmission, which is smaller than or equal to V.</w:t>
                            </w:r>
                          </w:p>
                          <w:p w14:paraId="7C9B98C6" w14:textId="77777777" w:rsidR="004758B6" w:rsidRDefault="004758B6"/>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Text Box 2" o:spid="_x0000_s1026" o:spt="202" type="#_x0000_t202" style="position:absolute;left:0pt;margin-top:304.35pt;height:56.5pt;width:501pt;mso-position-horizontal:left;mso-position-horizontal-relative:margin;mso-wrap-distance-bottom:3.6pt;mso-wrap-distance-left:9pt;mso-wrap-distance-right:9pt;mso-wrap-distance-top:3.6pt;z-index:251663360;mso-width-relative:page;mso-height-relative:page;" fillcolor="#FFFFFF" filled="t" stroked="t" coordsize="21600,21600" o:gfxdata="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0C7lQNgAAAAJAQAADwAAAAAAAAABACAAAAAiAAAAZHJzL2Rvd25yZXYueG1s&#10;UEsBAhQAFAAAAAgAh07iQIjSWD4xAgAAgwQAAA4AAAAAAAAAAQAgAAAAJwEAAGRycy9lMm9Eb2Mu&#10;eG1sUEsFBgAAAAAGAAYAWQEAAMoFAAAAAA==&#10;">
                <v:fill on="t" focussize="0,0"/>
                <v:stroke color="#000000" miterlimit="8" joinstyle="miter"/>
                <v:imagedata o:title=""/>
                <o:lock v:ext="edit" aspectratio="f"/>
                <v:textbox>
                  <w:txbxContent>
                    <w:p>
                      <w:r>
                        <w:t xml:space="preserve">When a UE is scheduled to transmit PUSCH for retransmission, if the UE is scheduled with </w:t>
                      </w:r>
                      <w:r>
                        <w:rPr>
                          <w:i/>
                          <w:iCs/>
                        </w:rPr>
                        <w:t>I</w:t>
                      </w:r>
                      <w:r>
                        <w:rPr>
                          <w:i/>
                          <w:iCs/>
                          <w:vertAlign w:val="subscript"/>
                        </w:rPr>
                        <w:t>MCS</w:t>
                      </w:r>
                      <w:r>
                        <w:t xml:space="preserve"> &gt; </w:t>
                      </w:r>
                      <w:r>
                        <w:rPr>
                          <w:i/>
                          <w:iCs/>
                        </w:rPr>
                        <w:t>V</w:t>
                      </w:r>
                      <w:r>
                        <w:t xml:space="preserve">, where </w:t>
                      </w:r>
                      <w:r>
                        <w:rPr>
                          <w:i/>
                          <w:iCs/>
                        </w:rPr>
                        <w:t>V</w:t>
                      </w:r>
                      <w:r>
                        <w:t xml:space="preserve"> = 28 for MCS Table 5.1.3.1-1 and MCS Table 5.1.3.1-3 and </w:t>
                      </w:r>
                      <w:r>
                        <w:rPr>
                          <w:i/>
                          <w:iCs/>
                        </w:rPr>
                        <w:t>V</w:t>
                      </w:r>
                      <w:r>
                        <w:t xml:space="preserve"> = 27 for MCS Table 5.1.3.1-2, respectively, </w:t>
                      </w:r>
                      <w:r>
                        <w:rPr>
                          <w:color w:val="00B050"/>
                        </w:rPr>
                        <w:t>the MCS for PT-RS time-density determination is obtained from the DCI for the same transport block in the initial transmission, which is smaller than or equal to V.</w:t>
                      </w:r>
                    </w:p>
                    <w:p/>
                  </w:txbxContent>
                </v:textbox>
                <w10:wrap type="square"/>
              </v:shape>
            </w:pict>
          </mc:Fallback>
        </mc:AlternateContent>
      </w:r>
      <w:r>
        <w:rPr>
          <w:noProof/>
          <w:lang w:val="en-GB"/>
        </w:rPr>
        <mc:AlternateContent>
          <mc:Choice Requires="wps">
            <w:drawing>
              <wp:anchor distT="45720" distB="45720" distL="114300" distR="114300" simplePos="0" relativeHeight="251662336" behindDoc="0" locked="0" layoutInCell="1" allowOverlap="1" wp14:anchorId="599D876D" wp14:editId="0B61351F">
                <wp:simplePos x="0" y="0"/>
                <wp:positionH relativeFrom="margin">
                  <wp:align>right</wp:align>
                </wp:positionH>
                <wp:positionV relativeFrom="paragraph">
                  <wp:posOffset>802640</wp:posOffset>
                </wp:positionV>
                <wp:extent cx="6311900" cy="2895600"/>
                <wp:effectExtent l="0" t="0" r="12700" b="19050"/>
                <wp:wrapSquare wrapText="bothSides"/>
                <wp:docPr id="2857277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0" cy="2895600"/>
                        </a:xfrm>
                        <a:prstGeom prst="rect">
                          <a:avLst/>
                        </a:prstGeom>
                        <a:solidFill>
                          <a:srgbClr val="FFFFFF"/>
                        </a:solidFill>
                        <a:ln w="9525">
                          <a:solidFill>
                            <a:srgbClr val="000000"/>
                          </a:solidFill>
                          <a:miter lim="800000"/>
                        </a:ln>
                      </wps:spPr>
                      <wps:txbx>
                        <w:txbxContent>
                          <w:p w14:paraId="6B5D4B07" w14:textId="77777777" w:rsidR="004758B6" w:rsidRDefault="00000000">
                            <w:pPr>
                              <w:rPr>
                                <w:color w:val="000000"/>
                              </w:rPr>
                            </w:pPr>
                            <w:r>
                              <w:rPr>
                                <w:color w:val="000000"/>
                              </w:rPr>
                              <w:t xml:space="preserve">When transform precoding is not enabled and if a UE is configured with the higher layer parameter </w:t>
                            </w:r>
                            <w:proofErr w:type="spellStart"/>
                            <w:r>
                              <w:rPr>
                                <w:i/>
                                <w:color w:val="000000"/>
                              </w:rPr>
                              <w:t>phaseTrackingRS</w:t>
                            </w:r>
                            <w:proofErr w:type="spellEnd"/>
                            <w:r>
                              <w:rPr>
                                <w:i/>
                                <w:color w:val="000000"/>
                              </w:rPr>
                              <w:t xml:space="preserve"> </w:t>
                            </w:r>
                            <w:r>
                              <w:rPr>
                                <w:color w:val="000000"/>
                              </w:rPr>
                              <w:t>in</w:t>
                            </w:r>
                            <w:r>
                              <w:rPr>
                                <w:i/>
                                <w:color w:val="000000"/>
                              </w:rPr>
                              <w:t xml:space="preserve"> DMRS-</w:t>
                            </w:r>
                            <w:proofErr w:type="spellStart"/>
                            <w:r>
                              <w:rPr>
                                <w:i/>
                                <w:color w:val="000000"/>
                              </w:rPr>
                              <w:t>UplinkConfig</w:t>
                            </w:r>
                            <w:proofErr w:type="spellEnd"/>
                            <w:r>
                              <w:rPr>
                                <w:i/>
                                <w:color w:val="000000"/>
                              </w:rPr>
                              <w:t xml:space="preserve">, </w:t>
                            </w:r>
                          </w:p>
                          <w:p w14:paraId="75144872" w14:textId="77777777" w:rsidR="004758B6" w:rsidRDefault="00000000">
                            <w:pPr>
                              <w:pStyle w:val="B1"/>
                            </w:pPr>
                            <w:r>
                              <w:rPr>
                                <w:lang w:eastAsia="ja-JP"/>
                              </w:rPr>
                              <w:t>-</w:t>
                            </w:r>
                            <w:r>
                              <w:rPr>
                                <w:lang w:eastAsia="ja-JP"/>
                              </w:rPr>
                              <w:tab/>
                              <w:t xml:space="preserve">the higher layer parameters </w:t>
                            </w:r>
                            <w:proofErr w:type="spellStart"/>
                            <w:r>
                              <w:rPr>
                                <w:i/>
                                <w:iCs/>
                              </w:rPr>
                              <w:t>timeDensity</w:t>
                            </w:r>
                            <w:proofErr w:type="spellEnd"/>
                            <w:r>
                              <w:t xml:space="preserve"> and </w:t>
                            </w:r>
                            <w:proofErr w:type="spellStart"/>
                            <w:r>
                              <w:rPr>
                                <w:i/>
                                <w:iCs/>
                              </w:rPr>
                              <w:t>frequencyDensity</w:t>
                            </w:r>
                            <w:proofErr w:type="spellEnd"/>
                            <w:r>
                              <w:t xml:space="preserve"> in </w:t>
                            </w:r>
                            <w:r>
                              <w:rPr>
                                <w:i/>
                                <w:iCs/>
                              </w:rPr>
                              <w:t>PTRS-</w:t>
                            </w:r>
                            <w:proofErr w:type="spellStart"/>
                            <w:r>
                              <w:rPr>
                                <w:i/>
                                <w:iCs/>
                              </w:rPr>
                              <w:t>UplinkConfig</w:t>
                            </w:r>
                            <w:proofErr w:type="spellEnd"/>
                            <w:r>
                              <w:rPr>
                                <w:i/>
                                <w:iCs/>
                              </w:rPr>
                              <w:t xml:space="preserve"> </w:t>
                            </w:r>
                            <w:r>
                              <w:t xml:space="preserve">indicate the threshold values </w:t>
                            </w:r>
                            <w:proofErr w:type="spellStart"/>
                            <w:r>
                              <w:rPr>
                                <w:i/>
                                <w:iCs/>
                                <w:lang w:eastAsia="zh-CN"/>
                              </w:rPr>
                              <w:t>ptrs-MCS</w:t>
                            </w:r>
                            <w:r>
                              <w:rPr>
                                <w:i/>
                                <w:iCs/>
                                <w:vertAlign w:val="subscript"/>
                                <w:lang w:eastAsia="zh-CN"/>
                              </w:rPr>
                              <w:t>i</w:t>
                            </w:r>
                            <w:proofErr w:type="spellEnd"/>
                            <w:r>
                              <w:rPr>
                                <w:lang w:eastAsia="zh-CN"/>
                              </w:rPr>
                              <w:t xml:space="preserve">, </w:t>
                            </w:r>
                            <w:proofErr w:type="spellStart"/>
                            <w:r>
                              <w:rPr>
                                <w:i/>
                                <w:iCs/>
                                <w:lang w:eastAsia="zh-CN"/>
                              </w:rPr>
                              <w:t>i</w:t>
                            </w:r>
                            <w:proofErr w:type="spellEnd"/>
                            <w:r>
                              <w:rPr>
                                <w:lang w:eastAsia="zh-CN"/>
                              </w:rPr>
                              <w:t xml:space="preserve">=1,2,3 and </w:t>
                            </w:r>
                            <w:proofErr w:type="spellStart"/>
                            <w:proofErr w:type="gramStart"/>
                            <w:r>
                              <w:rPr>
                                <w:i/>
                                <w:iCs/>
                                <w:lang w:eastAsia="ko-KR"/>
                              </w:rPr>
                              <w:t>N</w:t>
                            </w:r>
                            <w:r>
                              <w:rPr>
                                <w:i/>
                                <w:iCs/>
                                <w:vertAlign w:val="subscript"/>
                                <w:lang w:eastAsia="ko-KR"/>
                              </w:rPr>
                              <w:t>RB,i</w:t>
                            </w:r>
                            <w:proofErr w:type="spellEnd"/>
                            <w:proofErr w:type="gramEnd"/>
                            <w:r>
                              <w:rPr>
                                <w:lang w:eastAsia="ko-KR"/>
                              </w:rPr>
                              <w:t xml:space="preserve"> , </w:t>
                            </w:r>
                            <w:proofErr w:type="spellStart"/>
                            <w:r>
                              <w:rPr>
                                <w:i/>
                                <w:iCs/>
                                <w:lang w:eastAsia="zh-CN"/>
                              </w:rPr>
                              <w:t>i</w:t>
                            </w:r>
                            <w:proofErr w:type="spellEnd"/>
                            <w:r>
                              <w:rPr>
                                <w:lang w:eastAsia="zh-CN"/>
                              </w:rPr>
                              <w:t xml:space="preserve">=0,1, as shown in Table 6.2.3.1-1 and Table 6.2.3.1-2, </w:t>
                            </w:r>
                            <w:r>
                              <w:rPr>
                                <w:lang w:eastAsia="ko-KR"/>
                              </w:rPr>
                              <w:t xml:space="preserve">respectively. </w:t>
                            </w:r>
                          </w:p>
                          <w:p w14:paraId="262C35D3" w14:textId="77777777" w:rsidR="004758B6" w:rsidRDefault="00000000">
                            <w:pPr>
                              <w:pStyle w:val="B1"/>
                            </w:pPr>
                            <w:r>
                              <w:t>-</w:t>
                            </w:r>
                            <w:r>
                              <w:tab/>
                              <w:t xml:space="preserve">if </w:t>
                            </w:r>
                            <w:r>
                              <w:rPr>
                                <w:lang w:val="en-GB"/>
                              </w:rPr>
                              <w:t>either or both</w:t>
                            </w:r>
                            <w:r>
                              <w:t xml:space="preserve"> higher layer parameters </w:t>
                            </w:r>
                            <w:proofErr w:type="spellStart"/>
                            <w:r>
                              <w:rPr>
                                <w:i/>
                              </w:rPr>
                              <w:t>timeDensity</w:t>
                            </w:r>
                            <w:proofErr w:type="spellEnd"/>
                            <w:r>
                              <w:t xml:space="preserve"> </w:t>
                            </w:r>
                            <w:r>
                              <w:rPr>
                                <w:lang w:val="en-GB"/>
                              </w:rPr>
                              <w:t xml:space="preserve">and/or </w:t>
                            </w:r>
                            <w:proofErr w:type="spellStart"/>
                            <w:r>
                              <w:rPr>
                                <w:i/>
                              </w:rPr>
                              <w:t>frequencyDensity</w:t>
                            </w:r>
                            <w:proofErr w:type="spellEnd"/>
                            <w:r>
                              <w:rPr>
                                <w:lang w:val="en-GB"/>
                              </w:rPr>
                              <w:t xml:space="preserve"> in </w:t>
                            </w:r>
                            <w:r>
                              <w:rPr>
                                <w:i/>
                                <w:lang w:val="en-GB"/>
                              </w:rPr>
                              <w:t>PTRS-</w:t>
                            </w:r>
                            <w:proofErr w:type="spellStart"/>
                            <w:r>
                              <w:rPr>
                                <w:i/>
                                <w:lang w:val="en-GB"/>
                              </w:rPr>
                              <w:t>UplinkConfig</w:t>
                            </w:r>
                            <w:proofErr w:type="spellEnd"/>
                            <w:r>
                              <w:rPr>
                                <w:lang w:val="en-GB"/>
                              </w:rPr>
                              <w:t xml:space="preserve"> </w:t>
                            </w:r>
                            <w:r>
                              <w:t xml:space="preserve">are configured, </w:t>
                            </w:r>
                            <w:r>
                              <w:rPr>
                                <w:color w:val="00B0F0"/>
                              </w:rPr>
                              <w:t>the UE shall assume the PT-RS antenna ports' presence and pattern are a function of the corresponding scheduled MCS of the codeword associated with the PT-RS and scheduled bandwidth in a corresponding bandwidth part as shown in Table 6.2.3.1-1 and Table 6.2.3.1-2</w:t>
                            </w:r>
                            <w:r>
                              <w:rPr>
                                <w:color w:val="00B0F0"/>
                                <w:lang w:val="en-GB"/>
                              </w:rPr>
                              <w:t>, respectively</w:t>
                            </w:r>
                            <w:r>
                              <w:rPr>
                                <w:color w:val="00B0F0"/>
                              </w:rPr>
                              <w:t xml:space="preserve">, </w:t>
                            </w:r>
                          </w:p>
                          <w:p w14:paraId="0919B599" w14:textId="77777777" w:rsidR="004758B6" w:rsidRDefault="00000000">
                            <w:pPr>
                              <w:pStyle w:val="B2"/>
                            </w:pPr>
                            <w:r>
                              <w:rPr>
                                <w:rFonts w:eastAsia="MS Mincho"/>
                                <w:lang w:eastAsia="ja-JP"/>
                              </w:rPr>
                              <w:t>-</w:t>
                            </w:r>
                            <w:r>
                              <w:rPr>
                                <w:rFonts w:eastAsia="MS Mincho"/>
                                <w:lang w:eastAsia="ja-JP"/>
                              </w:rPr>
                              <w:tab/>
                              <w:t xml:space="preserve">if the higher layer parameter </w:t>
                            </w:r>
                            <w:proofErr w:type="spellStart"/>
                            <w:r>
                              <w:rPr>
                                <w:rFonts w:eastAsia="MS Mincho"/>
                                <w:i/>
                                <w:lang w:eastAsia="ja-JP"/>
                              </w:rPr>
                              <w:t>timeDensity</w:t>
                            </w:r>
                            <w:proofErr w:type="spellEnd"/>
                            <w:r>
                              <w:rPr>
                                <w:rFonts w:eastAsia="MS Mincho"/>
                                <w:lang w:eastAsia="ja-JP"/>
                              </w:rPr>
                              <w:t xml:space="preserve"> is not configured, the UE </w:t>
                            </w:r>
                            <w:r>
                              <w:rPr>
                                <w:rFonts w:eastAsia="MS Mincho"/>
                                <w:lang w:val="en-GB" w:eastAsia="ja-JP"/>
                              </w:rPr>
                              <w:t>shall</w:t>
                            </w:r>
                            <w:r>
                              <w:rPr>
                                <w:rFonts w:eastAsia="MS Mincho"/>
                                <w:lang w:eastAsia="ja-JP"/>
                              </w:rPr>
                              <w:t xml:space="preserve"> assume </w:t>
                            </w:r>
                            <w:r>
                              <w:rPr>
                                <w:i/>
                              </w:rPr>
                              <w:t>L</w:t>
                            </w:r>
                            <w:r>
                              <w:rPr>
                                <w:i/>
                                <w:vertAlign w:val="subscript"/>
                              </w:rPr>
                              <w:t xml:space="preserve">PT-RS </w:t>
                            </w:r>
                            <w:r>
                              <w:t>= 1.</w:t>
                            </w:r>
                          </w:p>
                          <w:p w14:paraId="3A586F2C" w14:textId="77777777" w:rsidR="004758B6" w:rsidRDefault="00000000">
                            <w:pPr>
                              <w:pStyle w:val="B2"/>
                              <w:rPr>
                                <w:color w:val="000000"/>
                              </w:rPr>
                            </w:pPr>
                            <w:r>
                              <w:rPr>
                                <w:rFonts w:eastAsia="MS Mincho"/>
                                <w:lang w:eastAsia="ja-JP"/>
                              </w:rPr>
                              <w:t>-</w:t>
                            </w:r>
                            <w:r>
                              <w:rPr>
                                <w:rFonts w:eastAsia="MS Mincho"/>
                                <w:lang w:eastAsia="ja-JP"/>
                              </w:rPr>
                              <w:tab/>
                              <w:t xml:space="preserve">if the higher layer parameter </w:t>
                            </w:r>
                            <w:proofErr w:type="spellStart"/>
                            <w:r>
                              <w:rPr>
                                <w:rFonts w:eastAsia="MS Mincho"/>
                                <w:i/>
                                <w:lang w:eastAsia="ja-JP"/>
                              </w:rPr>
                              <w:t>frequencyDensity</w:t>
                            </w:r>
                            <w:proofErr w:type="spellEnd"/>
                            <w:r>
                              <w:rPr>
                                <w:rFonts w:eastAsia="MS Mincho"/>
                                <w:lang w:eastAsia="ja-JP"/>
                              </w:rPr>
                              <w:t xml:space="preserve"> is not configured, the UE </w:t>
                            </w:r>
                            <w:r>
                              <w:rPr>
                                <w:rFonts w:eastAsia="MS Mincho"/>
                                <w:lang w:val="en-GB" w:eastAsia="ja-JP"/>
                              </w:rPr>
                              <w:t>shall</w:t>
                            </w:r>
                            <w:r>
                              <w:rPr>
                                <w:rFonts w:eastAsia="MS Mincho"/>
                                <w:lang w:eastAsia="ja-JP"/>
                              </w:rPr>
                              <w:t xml:space="preserve"> assume </w:t>
                            </w:r>
                            <w:r>
                              <w:rPr>
                                <w:i/>
                                <w:color w:val="000000"/>
                                <w:lang w:eastAsia="ko-KR"/>
                              </w:rPr>
                              <w:t>K</w:t>
                            </w:r>
                            <w:r>
                              <w:rPr>
                                <w:i/>
                                <w:color w:val="000000"/>
                                <w:vertAlign w:val="subscript"/>
                                <w:lang w:eastAsia="ko-KR"/>
                              </w:rPr>
                              <w:t>PT-RS</w:t>
                            </w:r>
                            <w:r>
                              <w:rPr>
                                <w:rFonts w:ascii="Calibri" w:hAnsi="Calibri"/>
                                <w:color w:val="000000"/>
                                <w:sz w:val="22"/>
                                <w:szCs w:val="22"/>
                              </w:rPr>
                              <w:t xml:space="preserve"> = 2. </w:t>
                            </w:r>
                          </w:p>
                          <w:p w14:paraId="6DADB47D" w14:textId="77777777" w:rsidR="004758B6" w:rsidRDefault="00000000">
                            <w:pPr>
                              <w:pStyle w:val="B2"/>
                              <w:rPr>
                                <w:rFonts w:eastAsia="Malgun Gothic"/>
                                <w:lang w:val="en-GB" w:eastAsia="ko-KR"/>
                              </w:rPr>
                            </w:pPr>
                            <w:r>
                              <w:rPr>
                                <w:rFonts w:eastAsia="MS Mincho"/>
                                <w:lang w:eastAsia="ja-JP"/>
                              </w:rPr>
                              <w:t>-</w:t>
                            </w:r>
                            <w:r>
                              <w:rPr>
                                <w:rFonts w:eastAsia="MS Mincho"/>
                                <w:lang w:eastAsia="ja-JP"/>
                              </w:rPr>
                              <w:tab/>
                            </w:r>
                            <w:r>
                              <w:t xml:space="preserve">if a UE is configured with the higher layer parameter </w:t>
                            </w:r>
                            <w:proofErr w:type="spellStart"/>
                            <w:r>
                              <w:rPr>
                                <w:i/>
                              </w:rPr>
                              <w:t>maxNrofPorts</w:t>
                            </w:r>
                            <w:proofErr w:type="spellEnd"/>
                            <w:r>
                              <w:t xml:space="preserve"> in </w:t>
                            </w:r>
                            <w:r>
                              <w:rPr>
                                <w:i/>
                              </w:rPr>
                              <w:t>PTRS-</w:t>
                            </w:r>
                            <w:proofErr w:type="spellStart"/>
                            <w:r>
                              <w:rPr>
                                <w:i/>
                              </w:rPr>
                              <w:t>UplinkConfig</w:t>
                            </w:r>
                            <w:proofErr w:type="spellEnd"/>
                            <w:r>
                              <w:t xml:space="preserve"> set to 'n2' and scheduled with two codewords, the PT-RS time-density for both PT-RS ports is determined based on the higher MCSs of two codewords associated with the initial transmission.</w:t>
                            </w:r>
                          </w:p>
                          <w:p w14:paraId="3BF20085" w14:textId="77777777" w:rsidR="004758B6" w:rsidRDefault="00000000">
                            <w:r>
                              <w:t>-</w:t>
                            </w:r>
                            <w:r>
                              <w:tab/>
                              <w:t xml:space="preserve">if none of the higher layer parameters </w:t>
                            </w:r>
                            <w:proofErr w:type="spellStart"/>
                            <w:r>
                              <w:rPr>
                                <w:i/>
                              </w:rPr>
                              <w:t>timeDensity</w:t>
                            </w:r>
                            <w:proofErr w:type="spellEnd"/>
                            <w:r>
                              <w:t xml:space="preserve"> and </w:t>
                            </w:r>
                            <w:proofErr w:type="spellStart"/>
                            <w:r>
                              <w:rPr>
                                <w:i/>
                              </w:rPr>
                              <w:t>frequencyDensity</w:t>
                            </w:r>
                            <w:proofErr w:type="spellEnd"/>
                            <w:r>
                              <w:t xml:space="preserve"> in </w:t>
                            </w:r>
                            <w:r>
                              <w:rPr>
                                <w:i/>
                              </w:rPr>
                              <w:t>PTRS-</w:t>
                            </w:r>
                            <w:proofErr w:type="spellStart"/>
                            <w:r>
                              <w:rPr>
                                <w:i/>
                              </w:rPr>
                              <w:t>UplinkConfig</w:t>
                            </w:r>
                            <w:proofErr w:type="spellEnd"/>
                            <w:r>
                              <w:t xml:space="preserve"> are configured, the UE shall assume </w:t>
                            </w:r>
                            <w:r>
                              <w:rPr>
                                <w:i/>
                              </w:rPr>
                              <w:t>L</w:t>
                            </w:r>
                            <w:r>
                              <w:rPr>
                                <w:i/>
                                <w:vertAlign w:val="subscript"/>
                              </w:rPr>
                              <w:t>PT-RS</w:t>
                            </w:r>
                            <w:r>
                              <w:t xml:space="preserve"> = 1 and </w:t>
                            </w:r>
                            <w:r>
                              <w:rPr>
                                <w:i/>
                              </w:rPr>
                              <w:t>K</w:t>
                            </w:r>
                            <w:r>
                              <w:rPr>
                                <w:i/>
                                <w:vertAlign w:val="subscript"/>
                              </w:rPr>
                              <w:t>PT-RS</w:t>
                            </w:r>
                            <w:r>
                              <w:t xml:space="preserve"> = 2.</w:t>
                            </w:r>
                          </w:p>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Text Box 2" o:spid="_x0000_s1026" o:spt="202" type="#_x0000_t202" style="position:absolute;left:0pt;margin-top:63.2pt;height:228pt;width:497pt;mso-position-horizontal:right;mso-position-horizontal-relative:margin;mso-wrap-distance-bottom:3.6pt;mso-wrap-distance-left:9pt;mso-wrap-distance-right:9pt;mso-wrap-distance-top:3.6pt;z-index:251662336;mso-width-relative:page;mso-height-relative:page;" fillcolor="#FFFFFF" filled="t" stroked="t" coordsize="21600,21600" o:gfxdata="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KFYcvXAAAACAEAAA8AAAAAAAAAAQAgAAAAIgAAAGRycy9kb3ducmV2LnhtbFBL&#10;AQIUABQAAAAIAIdO4kCZqy5zMAIAAIMEAAAOAAAAAAAAAAEAIAAAACYBAABkcnMvZTJvRG9jLnht&#10;bFBLBQYAAAAABgAGAFkBAADIBQAAAAA=&#10;">
                <v:fill on="t" focussize="0,0"/>
                <v:stroke color="#000000" miterlimit="8" joinstyle="miter"/>
                <v:imagedata o:title=""/>
                <o:lock v:ext="edit" aspectratio="f"/>
                <v:textbox>
                  <w:txbxContent>
                    <w:p>
                      <w:pPr>
                        <w:rPr>
                          <w:color w:val="000000"/>
                        </w:rPr>
                      </w:pPr>
                      <w:r>
                        <w:rPr>
                          <w:color w:val="000000"/>
                        </w:rPr>
                        <w:t xml:space="preserve">When transform precoding is not enabled and if a UE is configured with the higher layer parameter </w:t>
                      </w:r>
                      <w:r>
                        <w:rPr>
                          <w:i/>
                          <w:color w:val="000000"/>
                        </w:rPr>
                        <w:t xml:space="preserve">phaseTrackingRS </w:t>
                      </w:r>
                      <w:r>
                        <w:rPr>
                          <w:color w:val="000000"/>
                        </w:rPr>
                        <w:t>in</w:t>
                      </w:r>
                      <w:r>
                        <w:rPr>
                          <w:i/>
                          <w:color w:val="000000"/>
                        </w:rPr>
                        <w:t xml:space="preserve"> DMRS-UplinkConfig, </w:t>
                      </w:r>
                    </w:p>
                    <w:p>
                      <w:pPr>
                        <w:pStyle w:val="84"/>
                      </w:pPr>
                      <w:r>
                        <w:rPr>
                          <w:lang w:eastAsia="ja-JP"/>
                        </w:rPr>
                        <w:t>-</w:t>
                      </w:r>
                      <w:r>
                        <w:rPr>
                          <w:lang w:eastAsia="ja-JP"/>
                        </w:rPr>
                        <w:tab/>
                      </w:r>
                      <w:r>
                        <w:rPr>
                          <w:lang w:eastAsia="ja-JP"/>
                        </w:rPr>
                        <w:t xml:space="preserve">the higher layer parameters </w:t>
                      </w:r>
                      <w:r>
                        <w:rPr>
                          <w:i/>
                          <w:iCs/>
                        </w:rPr>
                        <w:t>timeDensity</w:t>
                      </w:r>
                      <w:r>
                        <w:t xml:space="preserve"> and </w:t>
                      </w:r>
                      <w:r>
                        <w:rPr>
                          <w:i/>
                          <w:iCs/>
                        </w:rPr>
                        <w:t>frequencyDensity</w:t>
                      </w:r>
                      <w:r>
                        <w:t xml:space="preserve"> in </w:t>
                      </w:r>
                      <w:r>
                        <w:rPr>
                          <w:i/>
                          <w:iCs/>
                        </w:rPr>
                        <w:t xml:space="preserve">PTRS-UplinkConfig </w:t>
                      </w:r>
                      <w:r>
                        <w:t xml:space="preserve">indicate the threshold values </w:t>
                      </w:r>
                      <w:r>
                        <w:rPr>
                          <w:i/>
                          <w:iCs/>
                          <w:lang w:eastAsia="zh-CN"/>
                        </w:rPr>
                        <w:t>ptrs-MCS</w:t>
                      </w:r>
                      <w:r>
                        <w:rPr>
                          <w:i/>
                          <w:iCs/>
                          <w:vertAlign w:val="subscript"/>
                          <w:lang w:eastAsia="zh-CN"/>
                        </w:rPr>
                        <w:t>i</w:t>
                      </w:r>
                      <w:r>
                        <w:rPr>
                          <w:lang w:eastAsia="zh-CN"/>
                        </w:rPr>
                        <w:t xml:space="preserve">, </w:t>
                      </w:r>
                      <w:r>
                        <w:rPr>
                          <w:i/>
                          <w:iCs/>
                          <w:lang w:eastAsia="zh-CN"/>
                        </w:rPr>
                        <w:t>i</w:t>
                      </w:r>
                      <w:r>
                        <w:rPr>
                          <w:lang w:eastAsia="zh-CN"/>
                        </w:rPr>
                        <w:t xml:space="preserve">=1,2,3 and </w:t>
                      </w:r>
                      <w:r>
                        <w:rPr>
                          <w:i/>
                          <w:iCs/>
                          <w:lang w:eastAsia="ko-KR"/>
                        </w:rPr>
                        <w:t>N</w:t>
                      </w:r>
                      <w:r>
                        <w:rPr>
                          <w:i/>
                          <w:iCs/>
                          <w:vertAlign w:val="subscript"/>
                          <w:lang w:eastAsia="ko-KR"/>
                        </w:rPr>
                        <w:t>RB,i</w:t>
                      </w:r>
                      <w:r>
                        <w:rPr>
                          <w:lang w:eastAsia="ko-KR"/>
                        </w:rPr>
                        <w:t xml:space="preserve"> , </w:t>
                      </w:r>
                      <w:r>
                        <w:rPr>
                          <w:i/>
                          <w:iCs/>
                          <w:lang w:eastAsia="zh-CN"/>
                        </w:rPr>
                        <w:t>i</w:t>
                      </w:r>
                      <w:r>
                        <w:rPr>
                          <w:lang w:eastAsia="zh-CN"/>
                        </w:rPr>
                        <w:t xml:space="preserve">=0,1, as shown in Table 6.2.3.1-1 and Table 6.2.3.1-2, </w:t>
                      </w:r>
                      <w:r>
                        <w:rPr>
                          <w:lang w:eastAsia="ko-KR"/>
                        </w:rPr>
                        <w:t xml:space="preserve">respectively. </w:t>
                      </w:r>
                    </w:p>
                    <w:p>
                      <w:pPr>
                        <w:pStyle w:val="84"/>
                      </w:pPr>
                      <w:r>
                        <w:t>-</w:t>
                      </w:r>
                      <w:r>
                        <w:tab/>
                      </w:r>
                      <w:r>
                        <w:t xml:space="preserve">if </w:t>
                      </w:r>
                      <w:r>
                        <w:rPr>
                          <w:lang w:val="en-GB"/>
                        </w:rPr>
                        <w:t>either or both</w:t>
                      </w:r>
                      <w:r>
                        <w:t xml:space="preserve"> higher layer parameters </w:t>
                      </w:r>
                      <w:r>
                        <w:rPr>
                          <w:i/>
                        </w:rPr>
                        <w:t>timeDensity</w:t>
                      </w:r>
                      <w:r>
                        <w:t xml:space="preserve"> </w:t>
                      </w:r>
                      <w:r>
                        <w:rPr>
                          <w:lang w:val="en-GB"/>
                        </w:rPr>
                        <w:t xml:space="preserve">and/or </w:t>
                      </w:r>
                      <w:r>
                        <w:rPr>
                          <w:i/>
                        </w:rPr>
                        <w:t>frequencyDensity</w:t>
                      </w:r>
                      <w:r>
                        <w:rPr>
                          <w:lang w:val="en-GB"/>
                        </w:rPr>
                        <w:t xml:space="preserve"> in </w:t>
                      </w:r>
                      <w:r>
                        <w:rPr>
                          <w:i/>
                          <w:lang w:val="en-GB"/>
                        </w:rPr>
                        <w:t>PTRS-UplinkConfig</w:t>
                      </w:r>
                      <w:r>
                        <w:rPr>
                          <w:lang w:val="en-GB"/>
                        </w:rPr>
                        <w:t xml:space="preserve"> </w:t>
                      </w:r>
                      <w:r>
                        <w:t xml:space="preserve">are configured, </w:t>
                      </w:r>
                      <w:r>
                        <w:rPr>
                          <w:color w:val="00B0F0"/>
                        </w:rPr>
                        <w:t>the UE shall assume the PT-RS antenna ports' presence and pattern are a function of the corresponding scheduled MCS of the codeword associated with the PT-RS and scheduled bandwidth in a corresponding bandwidth part as shown in Table 6.2.3.1-1 and Table 6.2.3.1-2</w:t>
                      </w:r>
                      <w:r>
                        <w:rPr>
                          <w:color w:val="00B0F0"/>
                          <w:lang w:val="en-GB"/>
                        </w:rPr>
                        <w:t>, respectively</w:t>
                      </w:r>
                      <w:r>
                        <w:rPr>
                          <w:color w:val="00B0F0"/>
                        </w:rPr>
                        <w:t xml:space="preserve">, </w:t>
                      </w:r>
                    </w:p>
                    <w:p>
                      <w:pPr>
                        <w:pStyle w:val="85"/>
                      </w:pPr>
                      <w:r>
                        <w:rPr>
                          <w:rFonts w:eastAsia="MS Mincho"/>
                          <w:lang w:eastAsia="ja-JP"/>
                        </w:rPr>
                        <w:t>-</w:t>
                      </w:r>
                      <w:r>
                        <w:rPr>
                          <w:rFonts w:eastAsia="MS Mincho"/>
                          <w:lang w:eastAsia="ja-JP"/>
                        </w:rPr>
                        <w:tab/>
                      </w:r>
                      <w:r>
                        <w:rPr>
                          <w:rFonts w:eastAsia="MS Mincho"/>
                          <w:lang w:eastAsia="ja-JP"/>
                        </w:rPr>
                        <w:t xml:space="preserve">if the higher layer parameter </w:t>
                      </w:r>
                      <w:r>
                        <w:rPr>
                          <w:rFonts w:eastAsia="MS Mincho"/>
                          <w:i/>
                          <w:lang w:eastAsia="ja-JP"/>
                        </w:rPr>
                        <w:t>timeDensity</w:t>
                      </w:r>
                      <w:r>
                        <w:rPr>
                          <w:rFonts w:eastAsia="MS Mincho"/>
                          <w:lang w:eastAsia="ja-JP"/>
                        </w:rPr>
                        <w:t xml:space="preserve"> is not configured, the UE </w:t>
                      </w:r>
                      <w:r>
                        <w:rPr>
                          <w:rFonts w:eastAsia="MS Mincho"/>
                          <w:lang w:val="en-GB" w:eastAsia="ja-JP"/>
                        </w:rPr>
                        <w:t>shall</w:t>
                      </w:r>
                      <w:r>
                        <w:rPr>
                          <w:rFonts w:eastAsia="MS Mincho"/>
                          <w:lang w:eastAsia="ja-JP"/>
                        </w:rPr>
                        <w:t xml:space="preserve"> assume </w:t>
                      </w:r>
                      <w:r>
                        <w:rPr>
                          <w:i/>
                        </w:rPr>
                        <w:t>L</w:t>
                      </w:r>
                      <w:r>
                        <w:rPr>
                          <w:i/>
                          <w:vertAlign w:val="subscript"/>
                        </w:rPr>
                        <w:t xml:space="preserve">PT-RS </w:t>
                      </w:r>
                      <w:r>
                        <w:t>= 1.</w:t>
                      </w:r>
                    </w:p>
                    <w:p>
                      <w:pPr>
                        <w:pStyle w:val="85"/>
                        <w:rPr>
                          <w:color w:val="000000"/>
                        </w:rPr>
                      </w:pPr>
                      <w:r>
                        <w:rPr>
                          <w:rFonts w:eastAsia="MS Mincho"/>
                          <w:lang w:eastAsia="ja-JP"/>
                        </w:rPr>
                        <w:t>-</w:t>
                      </w:r>
                      <w:r>
                        <w:rPr>
                          <w:rFonts w:eastAsia="MS Mincho"/>
                          <w:lang w:eastAsia="ja-JP"/>
                        </w:rPr>
                        <w:tab/>
                      </w:r>
                      <w:r>
                        <w:rPr>
                          <w:rFonts w:eastAsia="MS Mincho"/>
                          <w:lang w:eastAsia="ja-JP"/>
                        </w:rPr>
                        <w:t xml:space="preserve">if the higher layer parameter </w:t>
                      </w:r>
                      <w:r>
                        <w:rPr>
                          <w:rFonts w:eastAsia="MS Mincho"/>
                          <w:i/>
                          <w:lang w:eastAsia="ja-JP"/>
                        </w:rPr>
                        <w:t>frequencyDensity</w:t>
                      </w:r>
                      <w:r>
                        <w:rPr>
                          <w:rFonts w:eastAsia="MS Mincho"/>
                          <w:lang w:eastAsia="ja-JP"/>
                        </w:rPr>
                        <w:t xml:space="preserve"> is not configured, the UE </w:t>
                      </w:r>
                      <w:r>
                        <w:rPr>
                          <w:rFonts w:eastAsia="MS Mincho"/>
                          <w:lang w:val="en-GB" w:eastAsia="ja-JP"/>
                        </w:rPr>
                        <w:t>shall</w:t>
                      </w:r>
                      <w:r>
                        <w:rPr>
                          <w:rFonts w:eastAsia="MS Mincho"/>
                          <w:lang w:eastAsia="ja-JP"/>
                        </w:rPr>
                        <w:t xml:space="preserve"> assume </w:t>
                      </w:r>
                      <w:r>
                        <w:rPr>
                          <w:i/>
                          <w:color w:val="000000"/>
                          <w:lang w:eastAsia="ko-KR"/>
                        </w:rPr>
                        <w:t>K</w:t>
                      </w:r>
                      <w:r>
                        <w:rPr>
                          <w:i/>
                          <w:color w:val="000000"/>
                          <w:vertAlign w:val="subscript"/>
                          <w:lang w:eastAsia="ko-KR"/>
                        </w:rPr>
                        <w:t>PT-RS</w:t>
                      </w:r>
                      <w:r>
                        <w:rPr>
                          <w:rFonts w:ascii="Calibri" w:hAnsi="Calibri"/>
                          <w:color w:val="000000"/>
                          <w:sz w:val="22"/>
                          <w:szCs w:val="22"/>
                        </w:rPr>
                        <w:t xml:space="preserve"> = 2. </w:t>
                      </w:r>
                    </w:p>
                    <w:p>
                      <w:pPr>
                        <w:pStyle w:val="85"/>
                        <w:rPr>
                          <w:rFonts w:eastAsia="Malgun Gothic"/>
                          <w:lang w:val="en-GB" w:eastAsia="ko-KR"/>
                        </w:rPr>
                      </w:pPr>
                      <w:r>
                        <w:rPr>
                          <w:rFonts w:eastAsia="MS Mincho"/>
                          <w:lang w:eastAsia="ja-JP"/>
                        </w:rPr>
                        <w:t>-</w:t>
                      </w:r>
                      <w:r>
                        <w:rPr>
                          <w:rFonts w:eastAsia="MS Mincho"/>
                          <w:lang w:eastAsia="ja-JP"/>
                        </w:rPr>
                        <w:tab/>
                      </w:r>
                      <w:r>
                        <w:t xml:space="preserve">if a UE is configured with the higher layer parameter </w:t>
                      </w:r>
                      <w:r>
                        <w:rPr>
                          <w:i/>
                        </w:rPr>
                        <w:t>maxNrofPorts</w:t>
                      </w:r>
                      <w:r>
                        <w:t xml:space="preserve"> in </w:t>
                      </w:r>
                      <w:r>
                        <w:rPr>
                          <w:i/>
                        </w:rPr>
                        <w:t>PTRS-UplinkConfig</w:t>
                      </w:r>
                      <w:r>
                        <w:t xml:space="preserve"> set to 'n2' and scheduled with two codewords, the PT-RS time-density for both PT-RS ports is determined based on the higher MCSs of two codewords associated with the initial transmission.</w:t>
                      </w:r>
                    </w:p>
                    <w:p>
                      <w:r>
                        <w:t>-</w:t>
                      </w:r>
                      <w:r>
                        <w:tab/>
                      </w:r>
                      <w:r>
                        <w:t xml:space="preserve">if none of the higher layer parameters </w:t>
                      </w:r>
                      <w:r>
                        <w:rPr>
                          <w:i/>
                        </w:rPr>
                        <w:t>timeDensity</w:t>
                      </w:r>
                      <w:r>
                        <w:t xml:space="preserve"> and </w:t>
                      </w:r>
                      <w:r>
                        <w:rPr>
                          <w:i/>
                        </w:rPr>
                        <w:t>frequencyDensity</w:t>
                      </w:r>
                      <w:r>
                        <w:t xml:space="preserve"> in </w:t>
                      </w:r>
                      <w:r>
                        <w:rPr>
                          <w:i/>
                        </w:rPr>
                        <w:t>PTRS-UplinkConfig</w:t>
                      </w:r>
                      <w:r>
                        <w:t xml:space="preserve"> are configured, the UE shall assume </w:t>
                      </w:r>
                      <w:r>
                        <w:rPr>
                          <w:i/>
                        </w:rPr>
                        <w:t>L</w:t>
                      </w:r>
                      <w:r>
                        <w:rPr>
                          <w:i/>
                          <w:vertAlign w:val="subscript"/>
                        </w:rPr>
                        <w:t>PT-RS</w:t>
                      </w:r>
                      <w:r>
                        <w:t xml:space="preserve"> = 1 and </w:t>
                      </w:r>
                      <w:r>
                        <w:rPr>
                          <w:i/>
                        </w:rPr>
                        <w:t>K</w:t>
                      </w:r>
                      <w:r>
                        <w:rPr>
                          <w:i/>
                          <w:vertAlign w:val="subscript"/>
                        </w:rPr>
                        <w:t>PT-RS</w:t>
                      </w:r>
                      <w:r>
                        <w:t xml:space="preserve"> = 2.</w:t>
                      </w:r>
                    </w:p>
                  </w:txbxContent>
                </v:textbox>
                <w10:wrap type="square"/>
              </v:shape>
            </w:pict>
          </mc:Fallback>
        </mc:AlternateContent>
      </w:r>
      <w:r>
        <w:rPr>
          <w:lang w:val="en-GB"/>
        </w:rPr>
        <w:t xml:space="preserve">Of course, it is our understanding the following specification suggests that Approach A is the correct interpretation of UE </w:t>
      </w:r>
      <w:proofErr w:type="spellStart"/>
      <w:r>
        <w:rPr>
          <w:lang w:val="en-GB"/>
        </w:rPr>
        <w:t>behavior</w:t>
      </w:r>
      <w:proofErr w:type="spellEnd"/>
      <w:r>
        <w:rPr>
          <w:lang w:val="en-GB"/>
        </w:rPr>
        <w:t xml:space="preserve"> for single-port PTRS. However, it is arguable that there is some ambiguity in specification. One could argue the highlighted (blue) text below does not cover retransmission. Even it covers retransmission, it is also arguable that the blue text conflicts with the green text below, because in case of retransmission with reserved MCS, the blue text says PTRS time density follows scheduled MCS of the CW, while the green text says PTRS time density follows the initial MCS. </w:t>
      </w:r>
    </w:p>
    <w:p w14:paraId="425328F1" w14:textId="77777777" w:rsidR="004758B6" w:rsidRDefault="00000000">
      <w:pPr>
        <w:rPr>
          <w:lang w:val="en-GB"/>
        </w:rPr>
      </w:pPr>
      <w:r>
        <w:rPr>
          <w:lang w:val="en-GB"/>
        </w:rPr>
        <w:t xml:space="preserve">There are two options to solve this issue as listed in Proposal 1. Option 1 is clarifying Approach A is the RAN1 common understanding in Chair’s note without specification change. Option 2 updates specification for PTRS to CW association for PUSCH/PDSCH retransmission as the following, by aligning the way to use initial MCS in retransmission for PTRS to CW association and for PTRS time density </w:t>
      </w:r>
      <w:proofErr w:type="gramStart"/>
      <w:r>
        <w:rPr>
          <w:lang w:val="en-GB"/>
        </w:rPr>
        <w:t>association, and</w:t>
      </w:r>
      <w:proofErr w:type="gramEnd"/>
      <w:r>
        <w:rPr>
          <w:lang w:val="en-GB"/>
        </w:rPr>
        <w:t xml:space="preserve"> aligning between downlink and uplink. With those alignments, the </w:t>
      </w:r>
      <w:r>
        <w:rPr>
          <w:lang w:val="en-GB"/>
        </w:rPr>
        <w:lastRenderedPageBreak/>
        <w:t xml:space="preserve">ordering of performing CW association first or time density determination first does not matter, which also resolve the ambiguity. </w:t>
      </w:r>
    </w:p>
    <w:p w14:paraId="0B568CF5" w14:textId="77777777" w:rsidR="004758B6" w:rsidRDefault="004758B6">
      <w:pPr>
        <w:rPr>
          <w:lang w:val="en-GB"/>
        </w:rPr>
      </w:pPr>
    </w:p>
    <w:p w14:paraId="126A3998" w14:textId="77777777" w:rsidR="004758B6" w:rsidRDefault="00000000">
      <w:pPr>
        <w:pStyle w:val="ListParagraph"/>
        <w:numPr>
          <w:ilvl w:val="0"/>
          <w:numId w:val="6"/>
        </w:numPr>
        <w:rPr>
          <w:rFonts w:ascii="Times New Roman" w:hAnsi="Times New Roman"/>
          <w:sz w:val="20"/>
          <w:szCs w:val="20"/>
          <w:lang w:val="en-GB"/>
        </w:rPr>
      </w:pPr>
      <w:r>
        <w:rPr>
          <w:rFonts w:ascii="Times New Roman" w:hAnsi="Times New Roman"/>
          <w:sz w:val="20"/>
          <w:szCs w:val="20"/>
          <w:lang w:val="en-GB"/>
        </w:rPr>
        <w:t>Determine the PTRS is associated with the CW with higher MCS.</w:t>
      </w:r>
    </w:p>
    <w:p w14:paraId="1030449A" w14:textId="77777777" w:rsidR="004758B6" w:rsidRDefault="00000000">
      <w:pPr>
        <w:pStyle w:val="ListParagraph"/>
        <w:numPr>
          <w:ilvl w:val="1"/>
          <w:numId w:val="6"/>
        </w:numPr>
        <w:rPr>
          <w:rFonts w:ascii="Times New Roman" w:hAnsi="Times New Roman"/>
          <w:sz w:val="20"/>
          <w:szCs w:val="20"/>
          <w:lang w:val="en-GB"/>
        </w:rPr>
      </w:pPr>
      <w:r>
        <w:rPr>
          <w:rFonts w:ascii="Times New Roman" w:hAnsi="Times New Roman"/>
          <w:sz w:val="20"/>
          <w:szCs w:val="20"/>
          <w:lang w:val="en-GB"/>
        </w:rPr>
        <w:t xml:space="preserve">For PUSCH, in case of retransmission </w:t>
      </w:r>
      <w:r>
        <w:rPr>
          <w:rFonts w:ascii="Times New Roman" w:hAnsi="Times New Roman"/>
          <w:strike/>
          <w:color w:val="FF0000"/>
          <w:sz w:val="20"/>
          <w:szCs w:val="20"/>
          <w:lang w:val="en-GB"/>
        </w:rPr>
        <w:t>regardless with reserved or non-reserved MCS</w:t>
      </w:r>
      <w:r>
        <w:rPr>
          <w:rFonts w:ascii="Times New Roman" w:hAnsi="Times New Roman"/>
          <w:color w:val="FF0000"/>
          <w:sz w:val="20"/>
          <w:szCs w:val="20"/>
          <w:lang w:val="en-GB"/>
        </w:rPr>
        <w:t xml:space="preserve"> with reserved MCS</w:t>
      </w:r>
      <w:r>
        <w:rPr>
          <w:rFonts w:ascii="Times New Roman" w:hAnsi="Times New Roman"/>
          <w:sz w:val="20"/>
          <w:szCs w:val="20"/>
          <w:lang w:val="en-GB"/>
        </w:rPr>
        <w:t>, the initial MCS is used in this determination</w:t>
      </w:r>
      <w:r>
        <w:rPr>
          <w:lang w:val="en-GB"/>
        </w:rPr>
        <w:t xml:space="preserve"> </w:t>
      </w:r>
    </w:p>
    <w:p w14:paraId="26C48D41" w14:textId="77777777" w:rsidR="004758B6" w:rsidRDefault="00000000">
      <w:pPr>
        <w:pStyle w:val="ListParagraph"/>
        <w:numPr>
          <w:ilvl w:val="1"/>
          <w:numId w:val="6"/>
        </w:numPr>
        <w:rPr>
          <w:rFonts w:ascii="Times New Roman" w:hAnsi="Times New Roman"/>
          <w:sz w:val="20"/>
          <w:szCs w:val="20"/>
          <w:lang w:val="en-GB"/>
        </w:rPr>
      </w:pPr>
      <w:r>
        <w:rPr>
          <w:rFonts w:ascii="Times New Roman" w:hAnsi="Times New Roman"/>
          <w:sz w:val="20"/>
          <w:szCs w:val="20"/>
          <w:lang w:val="en-GB"/>
        </w:rPr>
        <w:t xml:space="preserve">For PDSCH, in case of retransmission </w:t>
      </w:r>
      <w:r>
        <w:rPr>
          <w:rFonts w:ascii="Times New Roman" w:hAnsi="Times New Roman"/>
          <w:strike/>
          <w:color w:val="FF0000"/>
          <w:sz w:val="20"/>
          <w:szCs w:val="20"/>
          <w:lang w:val="en-GB"/>
        </w:rPr>
        <w:t>regardless with reserved or non-reserved MCS</w:t>
      </w:r>
      <w:r>
        <w:rPr>
          <w:rFonts w:ascii="Times New Roman" w:hAnsi="Times New Roman"/>
          <w:color w:val="FF0000"/>
          <w:sz w:val="20"/>
          <w:szCs w:val="20"/>
          <w:lang w:val="en-GB"/>
        </w:rPr>
        <w:t xml:space="preserve"> with reserved MCS</w:t>
      </w:r>
      <w:r>
        <w:rPr>
          <w:rFonts w:ascii="Times New Roman" w:hAnsi="Times New Roman"/>
          <w:sz w:val="20"/>
          <w:szCs w:val="20"/>
          <w:lang w:val="en-GB"/>
        </w:rPr>
        <w:t xml:space="preserve">, the </w:t>
      </w:r>
      <w:r>
        <w:rPr>
          <w:rFonts w:ascii="Times New Roman" w:hAnsi="Times New Roman"/>
          <w:strike/>
          <w:sz w:val="20"/>
          <w:szCs w:val="20"/>
          <w:lang w:val="en-GB"/>
        </w:rPr>
        <w:t>actual</w:t>
      </w:r>
      <w:r>
        <w:rPr>
          <w:rFonts w:ascii="Times New Roman" w:hAnsi="Times New Roman"/>
          <w:sz w:val="20"/>
          <w:szCs w:val="20"/>
          <w:lang w:val="en-GB"/>
        </w:rPr>
        <w:t xml:space="preserve"> </w:t>
      </w:r>
      <w:r>
        <w:rPr>
          <w:rFonts w:ascii="Times New Roman" w:hAnsi="Times New Roman"/>
          <w:color w:val="FF0000"/>
          <w:sz w:val="20"/>
          <w:szCs w:val="20"/>
          <w:lang w:val="en-GB"/>
        </w:rPr>
        <w:t xml:space="preserve">initial </w:t>
      </w:r>
      <w:r>
        <w:rPr>
          <w:rFonts w:ascii="Times New Roman" w:hAnsi="Times New Roman"/>
          <w:sz w:val="20"/>
          <w:szCs w:val="20"/>
          <w:lang w:val="en-GB"/>
        </w:rPr>
        <w:t xml:space="preserve">MCS is used in this determination. </w:t>
      </w:r>
    </w:p>
    <w:p w14:paraId="5D6BD120" w14:textId="77777777" w:rsidR="004758B6" w:rsidRDefault="004758B6">
      <w:pPr>
        <w:rPr>
          <w:lang w:val="en-GB"/>
        </w:rPr>
      </w:pPr>
    </w:p>
    <w:p w14:paraId="0C42A2A7" w14:textId="77777777" w:rsidR="004758B6" w:rsidRDefault="00000000">
      <w:pPr>
        <w:rPr>
          <w:lang w:val="en-GB"/>
        </w:rPr>
      </w:pPr>
      <w:r>
        <w:rPr>
          <w:lang w:val="en-GB"/>
        </w:rPr>
        <w:t xml:space="preserve">The TPs for option 2 are provided in Section </w:t>
      </w:r>
      <w:r>
        <w:rPr>
          <w:lang w:val="en-GB"/>
        </w:rPr>
        <w:fldChar w:fldCharType="begin"/>
      </w:r>
      <w:r>
        <w:rPr>
          <w:lang w:val="en-GB"/>
        </w:rPr>
        <w:instrText xml:space="preserve"> REF _Ref173602528 \r \h </w:instrText>
      </w:r>
      <w:r>
        <w:rPr>
          <w:lang w:val="en-GB"/>
        </w:rPr>
      </w:r>
      <w:r>
        <w:rPr>
          <w:lang w:val="en-GB"/>
        </w:rPr>
        <w:fldChar w:fldCharType="separate"/>
      </w:r>
      <w:r>
        <w:rPr>
          <w:lang w:val="en-GB"/>
        </w:rPr>
        <w:t>3</w:t>
      </w:r>
      <w:r>
        <w:rPr>
          <w:lang w:val="en-GB"/>
        </w:rPr>
        <w:fldChar w:fldCharType="end"/>
      </w:r>
      <w:r>
        <w:rPr>
          <w:lang w:val="en-GB"/>
        </w:rPr>
        <w:t xml:space="preserve"> and Section </w:t>
      </w:r>
      <w:r>
        <w:rPr>
          <w:lang w:val="en-GB"/>
        </w:rPr>
        <w:fldChar w:fldCharType="begin"/>
      </w:r>
      <w:r>
        <w:rPr>
          <w:lang w:val="en-GB"/>
        </w:rPr>
        <w:instrText xml:space="preserve"> REF _Ref173602538 \r \h </w:instrText>
      </w:r>
      <w:r>
        <w:rPr>
          <w:lang w:val="en-GB"/>
        </w:rPr>
      </w:r>
      <w:r>
        <w:rPr>
          <w:lang w:val="en-GB"/>
        </w:rPr>
        <w:fldChar w:fldCharType="separate"/>
      </w:r>
      <w:r>
        <w:rPr>
          <w:lang w:val="en-GB"/>
        </w:rPr>
        <w:t>4</w:t>
      </w:r>
      <w:r>
        <w:rPr>
          <w:lang w:val="en-GB"/>
        </w:rPr>
        <w:fldChar w:fldCharType="end"/>
      </w:r>
      <w:r>
        <w:rPr>
          <w:lang w:val="en-GB"/>
        </w:rPr>
        <w:t xml:space="preserve"> for PUSCH and PDSCH respectively. </w:t>
      </w:r>
    </w:p>
    <w:p w14:paraId="736694F7" w14:textId="77777777" w:rsidR="004758B6" w:rsidRDefault="00000000">
      <w:pPr>
        <w:rPr>
          <w:rFonts w:eastAsia="Microsoft YaHei"/>
          <w:b/>
          <w:bCs/>
          <w:color w:val="000000"/>
        </w:rPr>
      </w:pPr>
      <w:r>
        <w:rPr>
          <w:rFonts w:eastAsia="Microsoft YaHei"/>
          <w:b/>
          <w:bCs/>
          <w:color w:val="000000"/>
          <w:u w:val="single"/>
        </w:rPr>
        <w:t>Proposal 1</w:t>
      </w:r>
      <w:r>
        <w:rPr>
          <w:rFonts w:eastAsia="Microsoft YaHei"/>
          <w:b/>
          <w:bCs/>
          <w:color w:val="000000"/>
        </w:rPr>
        <w:t xml:space="preserve">: For the ambiguity of ordering between PTRS to CW association determination and PTRS time density determination in the case of single-port PTRS with 2 CWs PDSCH/PUSCH, RAN1 decide one of the following two options. </w:t>
      </w:r>
    </w:p>
    <w:p w14:paraId="416DBFB1" w14:textId="77777777" w:rsidR="004758B6" w:rsidRDefault="00000000">
      <w:pPr>
        <w:pStyle w:val="ListParagraph"/>
        <w:numPr>
          <w:ilvl w:val="0"/>
          <w:numId w:val="6"/>
        </w:numPr>
        <w:rPr>
          <w:rFonts w:ascii="Times New Roman" w:eastAsia="Microsoft YaHei" w:hAnsi="Times New Roman"/>
          <w:b/>
          <w:bCs/>
          <w:color w:val="000000"/>
          <w:sz w:val="20"/>
          <w:szCs w:val="20"/>
        </w:rPr>
      </w:pPr>
      <w:r>
        <w:rPr>
          <w:rFonts w:ascii="Times New Roman" w:eastAsia="Microsoft YaHei" w:hAnsi="Times New Roman"/>
          <w:b/>
          <w:bCs/>
          <w:color w:val="000000"/>
          <w:sz w:val="20"/>
          <w:szCs w:val="20"/>
        </w:rPr>
        <w:t xml:space="preserve">Option 1: Capture in Chair’s notes that it is RAN1 common understanding where UE’s behavior in this case is firstly determining PTRS to CW association, followed by PTRS time density determination. </w:t>
      </w:r>
    </w:p>
    <w:p w14:paraId="2A5FBBCC" w14:textId="77777777" w:rsidR="004758B6" w:rsidRDefault="00000000">
      <w:pPr>
        <w:pStyle w:val="ListParagraph"/>
        <w:numPr>
          <w:ilvl w:val="0"/>
          <w:numId w:val="6"/>
        </w:numPr>
        <w:rPr>
          <w:rFonts w:ascii="Times New Roman" w:hAnsi="Times New Roman"/>
          <w:sz w:val="20"/>
          <w:szCs w:val="20"/>
          <w:lang w:val="en-GB"/>
        </w:rPr>
      </w:pPr>
      <w:r>
        <w:rPr>
          <w:rFonts w:ascii="Times New Roman" w:eastAsia="Microsoft YaHei" w:hAnsi="Times New Roman"/>
          <w:b/>
          <w:bCs/>
          <w:color w:val="000000"/>
          <w:sz w:val="20"/>
          <w:szCs w:val="20"/>
        </w:rPr>
        <w:t xml:space="preserve">Option 2: Update specification by adopting TPs in Section </w:t>
      </w:r>
      <w:r>
        <w:rPr>
          <w:rFonts w:ascii="Times New Roman" w:eastAsia="Microsoft YaHei" w:hAnsi="Times New Roman"/>
          <w:b/>
          <w:bCs/>
          <w:color w:val="000000"/>
          <w:sz w:val="20"/>
          <w:szCs w:val="20"/>
        </w:rPr>
        <w:fldChar w:fldCharType="begin"/>
      </w:r>
      <w:r>
        <w:rPr>
          <w:rFonts w:ascii="Times New Roman" w:eastAsia="Microsoft YaHei" w:hAnsi="Times New Roman"/>
          <w:b/>
          <w:bCs/>
          <w:color w:val="000000"/>
          <w:sz w:val="20"/>
          <w:szCs w:val="20"/>
        </w:rPr>
        <w:instrText xml:space="preserve"> REF _Ref173602528 \r \h  \* MERGEFORMAT </w:instrText>
      </w:r>
      <w:r>
        <w:rPr>
          <w:rFonts w:ascii="Times New Roman" w:eastAsia="Microsoft YaHei" w:hAnsi="Times New Roman"/>
          <w:b/>
          <w:bCs/>
          <w:color w:val="000000"/>
          <w:sz w:val="20"/>
          <w:szCs w:val="20"/>
        </w:rPr>
      </w:r>
      <w:r>
        <w:rPr>
          <w:rFonts w:ascii="Times New Roman" w:eastAsia="Microsoft YaHei" w:hAnsi="Times New Roman"/>
          <w:b/>
          <w:bCs/>
          <w:color w:val="000000"/>
          <w:sz w:val="20"/>
          <w:szCs w:val="20"/>
        </w:rPr>
        <w:fldChar w:fldCharType="separate"/>
      </w:r>
      <w:r>
        <w:rPr>
          <w:rFonts w:ascii="Times New Roman" w:eastAsia="Microsoft YaHei" w:hAnsi="Times New Roman"/>
          <w:b/>
          <w:bCs/>
          <w:color w:val="000000"/>
          <w:sz w:val="20"/>
          <w:szCs w:val="20"/>
        </w:rPr>
        <w:t>3</w:t>
      </w:r>
      <w:r>
        <w:rPr>
          <w:rFonts w:ascii="Times New Roman" w:eastAsia="Microsoft YaHei" w:hAnsi="Times New Roman"/>
          <w:b/>
          <w:bCs/>
          <w:color w:val="000000"/>
          <w:sz w:val="20"/>
          <w:szCs w:val="20"/>
        </w:rPr>
        <w:fldChar w:fldCharType="end"/>
      </w:r>
      <w:r>
        <w:rPr>
          <w:rFonts w:ascii="Times New Roman" w:eastAsia="Microsoft YaHei" w:hAnsi="Times New Roman"/>
          <w:b/>
          <w:bCs/>
          <w:color w:val="000000"/>
          <w:sz w:val="20"/>
          <w:szCs w:val="20"/>
        </w:rPr>
        <w:t xml:space="preserve"> and Section </w:t>
      </w:r>
      <w:r>
        <w:rPr>
          <w:rFonts w:ascii="Times New Roman" w:eastAsia="Microsoft YaHei" w:hAnsi="Times New Roman"/>
          <w:b/>
          <w:bCs/>
          <w:color w:val="000000"/>
          <w:sz w:val="20"/>
          <w:szCs w:val="20"/>
        </w:rPr>
        <w:fldChar w:fldCharType="begin"/>
      </w:r>
      <w:r>
        <w:rPr>
          <w:rFonts w:ascii="Times New Roman" w:eastAsia="Microsoft YaHei" w:hAnsi="Times New Roman"/>
          <w:b/>
          <w:bCs/>
          <w:color w:val="000000"/>
          <w:sz w:val="20"/>
          <w:szCs w:val="20"/>
        </w:rPr>
        <w:instrText xml:space="preserve"> REF _Ref173602538 \r \h  \* MERGEFORMAT </w:instrText>
      </w:r>
      <w:r>
        <w:rPr>
          <w:rFonts w:ascii="Times New Roman" w:eastAsia="Microsoft YaHei" w:hAnsi="Times New Roman"/>
          <w:b/>
          <w:bCs/>
          <w:color w:val="000000"/>
          <w:sz w:val="20"/>
          <w:szCs w:val="20"/>
        </w:rPr>
      </w:r>
      <w:r>
        <w:rPr>
          <w:rFonts w:ascii="Times New Roman" w:eastAsia="Microsoft YaHei" w:hAnsi="Times New Roman"/>
          <w:b/>
          <w:bCs/>
          <w:color w:val="000000"/>
          <w:sz w:val="20"/>
          <w:szCs w:val="20"/>
        </w:rPr>
        <w:fldChar w:fldCharType="separate"/>
      </w:r>
      <w:r>
        <w:rPr>
          <w:rFonts w:ascii="Times New Roman" w:eastAsia="Microsoft YaHei" w:hAnsi="Times New Roman"/>
          <w:b/>
          <w:bCs/>
          <w:color w:val="000000"/>
          <w:sz w:val="20"/>
          <w:szCs w:val="20"/>
        </w:rPr>
        <w:t>4</w:t>
      </w:r>
      <w:r>
        <w:rPr>
          <w:rFonts w:ascii="Times New Roman" w:eastAsia="Microsoft YaHei" w:hAnsi="Times New Roman"/>
          <w:b/>
          <w:bCs/>
          <w:color w:val="000000"/>
          <w:sz w:val="20"/>
          <w:szCs w:val="20"/>
        </w:rPr>
        <w:fldChar w:fldCharType="end"/>
      </w:r>
      <w:r>
        <w:rPr>
          <w:rFonts w:ascii="Times New Roman" w:eastAsia="Microsoft YaHei" w:hAnsi="Times New Roman"/>
          <w:b/>
          <w:bCs/>
          <w:color w:val="000000"/>
          <w:sz w:val="20"/>
          <w:szCs w:val="20"/>
        </w:rPr>
        <w:t>.</w:t>
      </w:r>
      <w:r>
        <w:rPr>
          <w:rFonts w:ascii="Times New Roman" w:hAnsi="Times New Roman"/>
          <w:sz w:val="20"/>
          <w:szCs w:val="20"/>
          <w:lang w:val="en-GB"/>
        </w:rPr>
        <w:t xml:space="preserve"> </w:t>
      </w:r>
    </w:p>
    <w:p w14:paraId="35B45A6D" w14:textId="77777777" w:rsidR="004758B6" w:rsidRDefault="004758B6">
      <w:pPr>
        <w:rPr>
          <w:lang w:val="en-GB"/>
        </w:rPr>
      </w:pPr>
    </w:p>
    <w:p w14:paraId="62FDCEDA" w14:textId="77777777" w:rsidR="004758B6" w:rsidRDefault="00000000">
      <w:pPr>
        <w:spacing w:after="0"/>
      </w:pPr>
      <w:r>
        <w:t xml:space="preserve">Companies are welcome to provide comments in the table below to indicate preference between option 1, and option 2, or suggest other options to clarify this issue. </w:t>
      </w:r>
    </w:p>
    <w:p w14:paraId="3DF5776F" w14:textId="77777777" w:rsidR="004758B6" w:rsidRDefault="004758B6">
      <w:pPr>
        <w:spacing w:after="0"/>
      </w:pPr>
    </w:p>
    <w:tbl>
      <w:tblPr>
        <w:tblStyle w:val="TableGrid"/>
        <w:tblW w:w="0" w:type="auto"/>
        <w:tblLook w:val="04A0" w:firstRow="1" w:lastRow="0" w:firstColumn="1" w:lastColumn="0" w:noHBand="0" w:noVBand="1"/>
      </w:tblPr>
      <w:tblGrid>
        <w:gridCol w:w="2155"/>
        <w:gridCol w:w="7807"/>
      </w:tblGrid>
      <w:tr w:rsidR="004758B6" w14:paraId="117CC7A1" w14:textId="77777777">
        <w:tc>
          <w:tcPr>
            <w:tcW w:w="2155" w:type="dxa"/>
          </w:tcPr>
          <w:p w14:paraId="0CF3A8EE" w14:textId="77777777" w:rsidR="004758B6" w:rsidRDefault="00000000">
            <w:pPr>
              <w:spacing w:before="0" w:after="0"/>
              <w:jc w:val="left"/>
            </w:pPr>
            <w:r>
              <w:t>Company Name</w:t>
            </w:r>
          </w:p>
        </w:tc>
        <w:tc>
          <w:tcPr>
            <w:tcW w:w="7807" w:type="dxa"/>
          </w:tcPr>
          <w:p w14:paraId="7AA47080" w14:textId="77777777" w:rsidR="004758B6" w:rsidRDefault="00000000">
            <w:pPr>
              <w:spacing w:before="0" w:after="0"/>
              <w:jc w:val="left"/>
            </w:pPr>
            <w:r>
              <w:t>Comments</w:t>
            </w:r>
          </w:p>
        </w:tc>
      </w:tr>
      <w:tr w:rsidR="004758B6" w14:paraId="306C20B5" w14:textId="77777777">
        <w:tc>
          <w:tcPr>
            <w:tcW w:w="2155" w:type="dxa"/>
          </w:tcPr>
          <w:p w14:paraId="7B0318F7" w14:textId="77777777" w:rsidR="004758B6" w:rsidRDefault="00000000">
            <w:pPr>
              <w:spacing w:before="0"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40E1C5C0" w14:textId="77777777" w:rsidR="004758B6" w:rsidRDefault="00000000">
            <w:pPr>
              <w:spacing w:before="0" w:after="0"/>
              <w:jc w:val="left"/>
              <w:rPr>
                <w:rFonts w:eastAsia="PMingLiU"/>
                <w:lang w:eastAsia="zh-TW"/>
              </w:rPr>
            </w:pPr>
            <w:r>
              <w:rPr>
                <w:rFonts w:eastAsia="PMingLiU" w:hint="eastAsia"/>
                <w:lang w:eastAsia="zh-TW"/>
              </w:rPr>
              <w:t>Fi</w:t>
            </w:r>
            <w:r>
              <w:rPr>
                <w:rFonts w:eastAsia="PMingLiU"/>
                <w:lang w:eastAsia="zh-TW"/>
              </w:rPr>
              <w:t>ne with the proposal.</w:t>
            </w:r>
          </w:p>
        </w:tc>
      </w:tr>
      <w:tr w:rsidR="004758B6" w14:paraId="3382BB90" w14:textId="77777777">
        <w:tc>
          <w:tcPr>
            <w:tcW w:w="2155" w:type="dxa"/>
          </w:tcPr>
          <w:p w14:paraId="3F2F7DF2" w14:textId="77777777" w:rsidR="004758B6" w:rsidRDefault="00000000">
            <w:pPr>
              <w:spacing w:before="0" w:after="0"/>
              <w:jc w:val="left"/>
              <w:rPr>
                <w:lang w:eastAsia="zh-CN"/>
              </w:rPr>
            </w:pPr>
            <w:r>
              <w:rPr>
                <w:lang w:eastAsia="zh-CN"/>
              </w:rPr>
              <w:t>Samsung</w:t>
            </w:r>
          </w:p>
        </w:tc>
        <w:tc>
          <w:tcPr>
            <w:tcW w:w="7807" w:type="dxa"/>
          </w:tcPr>
          <w:p w14:paraId="1BFF7D9D" w14:textId="77777777" w:rsidR="004758B6" w:rsidRDefault="00000000">
            <w:pPr>
              <w:spacing w:before="0" w:after="0"/>
              <w:jc w:val="left"/>
              <w:rPr>
                <w:lang w:eastAsia="zh-CN"/>
              </w:rPr>
            </w:pPr>
            <w:r>
              <w:rPr>
                <w:lang w:eastAsia="zh-CN"/>
              </w:rPr>
              <w:t xml:space="preserve">Our understanding is Approach A (CW selection </w:t>
            </w:r>
            <w:r>
              <w:rPr>
                <w:lang w:eastAsia="zh-CN"/>
              </w:rPr>
              <w:sym w:font="Wingdings" w:char="F0E0"/>
            </w:r>
            <w:r>
              <w:rPr>
                <w:lang w:eastAsia="zh-CN"/>
              </w:rPr>
              <w:t xml:space="preserve"> time-density selection). If most of the companies have the same understanding as Approach A, it would not be needed to capture it in Chair’s note. </w:t>
            </w:r>
          </w:p>
        </w:tc>
      </w:tr>
      <w:tr w:rsidR="004758B6" w14:paraId="7322563E" w14:textId="77777777">
        <w:tc>
          <w:tcPr>
            <w:tcW w:w="2155" w:type="dxa"/>
          </w:tcPr>
          <w:p w14:paraId="396260C0" w14:textId="77777777" w:rsidR="004758B6" w:rsidRDefault="00000000">
            <w:pPr>
              <w:spacing w:before="0" w:after="0"/>
              <w:rPr>
                <w:lang w:eastAsia="zh-CN"/>
              </w:rPr>
            </w:pPr>
            <w:r>
              <w:rPr>
                <w:lang w:eastAsia="zh-CN"/>
              </w:rPr>
              <w:t>Ericsson</w:t>
            </w:r>
          </w:p>
        </w:tc>
        <w:tc>
          <w:tcPr>
            <w:tcW w:w="7807" w:type="dxa"/>
          </w:tcPr>
          <w:p w14:paraId="0E266CA3" w14:textId="77777777" w:rsidR="004758B6" w:rsidRDefault="00000000">
            <w:pPr>
              <w:spacing w:before="0" w:after="0"/>
              <w:rPr>
                <w:lang w:eastAsia="zh-CN"/>
              </w:rPr>
            </w:pPr>
            <w:r>
              <w:rPr>
                <w:lang w:eastAsia="zh-CN"/>
              </w:rPr>
              <w:t xml:space="preserve">Fine with the proposal, but the PDSCH and PUSCH should be handled separately. Not sure we need both TPs. </w:t>
            </w:r>
          </w:p>
        </w:tc>
      </w:tr>
      <w:tr w:rsidR="004758B6" w14:paraId="3F44D878" w14:textId="77777777">
        <w:tc>
          <w:tcPr>
            <w:tcW w:w="2155" w:type="dxa"/>
          </w:tcPr>
          <w:p w14:paraId="07538F19" w14:textId="77777777" w:rsidR="004758B6" w:rsidRDefault="00000000">
            <w:pPr>
              <w:spacing w:before="0" w:after="0"/>
              <w:rPr>
                <w:lang w:eastAsia="zh-CN"/>
              </w:rPr>
            </w:pPr>
            <w:r>
              <w:rPr>
                <w:lang w:eastAsia="zh-CN"/>
              </w:rPr>
              <w:t>Google</w:t>
            </w:r>
          </w:p>
        </w:tc>
        <w:tc>
          <w:tcPr>
            <w:tcW w:w="7807" w:type="dxa"/>
          </w:tcPr>
          <w:p w14:paraId="2BA56E40" w14:textId="77777777" w:rsidR="004758B6" w:rsidRDefault="00000000">
            <w:pPr>
              <w:spacing w:before="0" w:after="0"/>
              <w:rPr>
                <w:lang w:eastAsia="zh-CN"/>
              </w:rPr>
            </w:pPr>
            <w:r>
              <w:rPr>
                <w:lang w:eastAsia="zh-CN"/>
              </w:rPr>
              <w:t xml:space="preserve">OK. Our understanding is Approach B. It is unreasonable to choose the CW based on reserved MCS. The intention for the MCS based CW selection is to identify the CW with better performance. </w:t>
            </w:r>
          </w:p>
          <w:p w14:paraId="048361A0" w14:textId="77777777" w:rsidR="004758B6" w:rsidRDefault="004758B6">
            <w:pPr>
              <w:spacing w:before="0" w:after="0"/>
              <w:rPr>
                <w:lang w:eastAsia="zh-CN"/>
              </w:rPr>
            </w:pPr>
          </w:p>
        </w:tc>
      </w:tr>
      <w:tr w:rsidR="004758B6" w14:paraId="4E303520" w14:textId="77777777">
        <w:tc>
          <w:tcPr>
            <w:tcW w:w="2155" w:type="dxa"/>
          </w:tcPr>
          <w:p w14:paraId="4F3146EA" w14:textId="77777777" w:rsidR="004758B6" w:rsidRDefault="00000000">
            <w:pPr>
              <w:spacing w:after="0"/>
              <w:rPr>
                <w:rFonts w:eastAsia="MS Mincho"/>
                <w:lang w:eastAsia="ja-JP"/>
              </w:rPr>
            </w:pPr>
            <w:r>
              <w:rPr>
                <w:rFonts w:eastAsia="MS Mincho" w:hint="eastAsia"/>
                <w:lang w:eastAsia="ja-JP"/>
              </w:rPr>
              <w:t>NTT DOCOMO</w:t>
            </w:r>
          </w:p>
        </w:tc>
        <w:tc>
          <w:tcPr>
            <w:tcW w:w="7807" w:type="dxa"/>
          </w:tcPr>
          <w:p w14:paraId="307A5840" w14:textId="77777777" w:rsidR="004758B6" w:rsidRDefault="00000000">
            <w:pPr>
              <w:spacing w:after="0"/>
              <w:rPr>
                <w:rFonts w:eastAsia="MS Mincho"/>
                <w:lang w:eastAsia="ja-JP"/>
              </w:rPr>
            </w:pPr>
            <w:r>
              <w:rPr>
                <w:rFonts w:eastAsia="MS Mincho" w:hint="eastAsia"/>
                <w:lang w:eastAsia="ja-JP"/>
              </w:rPr>
              <w:t xml:space="preserve">Given that different understanding </w:t>
            </w:r>
            <w:proofErr w:type="gramStart"/>
            <w:r>
              <w:rPr>
                <w:rFonts w:eastAsia="MS Mincho" w:hint="eastAsia"/>
                <w:lang w:eastAsia="ja-JP"/>
              </w:rPr>
              <w:t>are</w:t>
            </w:r>
            <w:proofErr w:type="gramEnd"/>
            <w:r>
              <w:rPr>
                <w:rFonts w:eastAsia="MS Mincho" w:hint="eastAsia"/>
                <w:lang w:eastAsia="ja-JP"/>
              </w:rPr>
              <w:t xml:space="preserve"> observed, we think some clarification is necessary. Open to either noting the conclusion or updating the spec for now though. </w:t>
            </w:r>
            <w:proofErr w:type="gramStart"/>
            <w:r>
              <w:rPr>
                <w:rFonts w:eastAsia="MS Mincho" w:hint="eastAsia"/>
                <w:lang w:eastAsia="ja-JP"/>
              </w:rPr>
              <w:t>Therefore</w:t>
            </w:r>
            <w:proofErr w:type="gramEnd"/>
            <w:r>
              <w:rPr>
                <w:rFonts w:eastAsia="MS Mincho" w:hint="eastAsia"/>
                <w:lang w:eastAsia="ja-JP"/>
              </w:rPr>
              <w:t xml:space="preserve"> we support the proposal itself. </w:t>
            </w:r>
          </w:p>
          <w:p w14:paraId="60984F89" w14:textId="77777777" w:rsidR="004758B6" w:rsidRDefault="00000000">
            <w:pPr>
              <w:spacing w:after="0"/>
              <w:rPr>
                <w:rFonts w:eastAsia="MS Mincho"/>
                <w:lang w:eastAsia="ja-JP"/>
              </w:rPr>
            </w:pPr>
            <w:r>
              <w:rPr>
                <w:rFonts w:eastAsia="MS Mincho" w:hint="eastAsia"/>
                <w:lang w:eastAsia="ja-JP"/>
              </w:rPr>
              <w:t xml:space="preserve">We sympathize with Ericsson above </w:t>
            </w:r>
            <w:r>
              <w:rPr>
                <w:rFonts w:eastAsia="MS Mincho"/>
                <w:lang w:eastAsia="ja-JP"/>
              </w:rPr>
              <w:t xml:space="preserve">that </w:t>
            </w:r>
            <w:r>
              <w:rPr>
                <w:rFonts w:eastAsia="MS Mincho" w:hint="eastAsia"/>
                <w:lang w:eastAsia="ja-JP"/>
              </w:rPr>
              <w:t xml:space="preserve">having this proposal endorsed should not imply both PDSCH and PUSCH need an identical result. </w:t>
            </w:r>
          </w:p>
        </w:tc>
      </w:tr>
      <w:tr w:rsidR="004758B6" w14:paraId="512B7AA6" w14:textId="77777777">
        <w:tc>
          <w:tcPr>
            <w:tcW w:w="2155" w:type="dxa"/>
          </w:tcPr>
          <w:p w14:paraId="2A72FE38" w14:textId="77777777" w:rsidR="004758B6" w:rsidRDefault="00000000">
            <w:pPr>
              <w:spacing w:before="0" w:after="0"/>
              <w:jc w:val="left"/>
              <w:rPr>
                <w:lang w:eastAsia="zh-CN"/>
              </w:rPr>
            </w:pPr>
            <w:r>
              <w:rPr>
                <w:rFonts w:hint="eastAsia"/>
                <w:lang w:eastAsia="zh-CN"/>
              </w:rPr>
              <w:t>OPPO</w:t>
            </w:r>
          </w:p>
        </w:tc>
        <w:tc>
          <w:tcPr>
            <w:tcW w:w="7807" w:type="dxa"/>
          </w:tcPr>
          <w:p w14:paraId="188F6BE9" w14:textId="77777777" w:rsidR="004758B6" w:rsidRDefault="00000000">
            <w:pPr>
              <w:spacing w:before="0" w:after="0"/>
              <w:jc w:val="left"/>
              <w:rPr>
                <w:lang w:eastAsia="zh-CN"/>
              </w:rPr>
            </w:pPr>
            <w:r>
              <w:rPr>
                <w:lang w:eastAsia="zh-CN"/>
              </w:rPr>
              <w:t>Our understanding is Approach A</w:t>
            </w:r>
            <w:r>
              <w:rPr>
                <w:rFonts w:hint="eastAsia"/>
                <w:lang w:eastAsia="zh-CN"/>
              </w:rPr>
              <w:t>.</w:t>
            </w:r>
            <w:r>
              <w:rPr>
                <w:lang w:eastAsia="zh-CN"/>
              </w:rPr>
              <w:t xml:space="preserve"> We are fine to have a conclusion. </w:t>
            </w:r>
          </w:p>
        </w:tc>
      </w:tr>
      <w:tr w:rsidR="004758B6" w14:paraId="0D7D8E85" w14:textId="77777777">
        <w:tc>
          <w:tcPr>
            <w:tcW w:w="2155" w:type="dxa"/>
          </w:tcPr>
          <w:p w14:paraId="0C0D0434" w14:textId="77777777" w:rsidR="004758B6" w:rsidRDefault="00000000">
            <w:pPr>
              <w:spacing w:after="0"/>
              <w:rPr>
                <w:lang w:eastAsia="zh-CN"/>
              </w:rPr>
            </w:pPr>
            <w:r>
              <w:rPr>
                <w:lang w:eastAsia="zh-CN"/>
              </w:rPr>
              <w:t>Apple</w:t>
            </w:r>
          </w:p>
        </w:tc>
        <w:tc>
          <w:tcPr>
            <w:tcW w:w="7807" w:type="dxa"/>
          </w:tcPr>
          <w:p w14:paraId="6A6706D2" w14:textId="77777777" w:rsidR="004758B6" w:rsidRDefault="00000000">
            <w:pPr>
              <w:spacing w:after="0"/>
              <w:rPr>
                <w:lang w:eastAsia="zh-CN"/>
              </w:rPr>
            </w:pPr>
            <w:r>
              <w:rPr>
                <w:lang w:eastAsia="zh-CN"/>
              </w:rPr>
              <w:t xml:space="preserve">Our understanding is approach </w:t>
            </w:r>
            <w:proofErr w:type="gramStart"/>
            <w:r>
              <w:rPr>
                <w:lang w:eastAsia="zh-CN"/>
              </w:rPr>
              <w:t>A</w:t>
            </w:r>
            <w:proofErr w:type="gramEnd"/>
            <w:r>
              <w:rPr>
                <w:lang w:eastAsia="zh-CN"/>
              </w:rPr>
              <w:t xml:space="preserve"> and we support a conclusion to clarify the order of association. We don’t think a spec update is necessary. Moreover, the suggested TP doesn’t just help clarify the order, rather introduce a new/different behavior to align the association procedure</w:t>
            </w:r>
          </w:p>
        </w:tc>
      </w:tr>
      <w:tr w:rsidR="004758B6" w14:paraId="4629AB2D" w14:textId="77777777">
        <w:tc>
          <w:tcPr>
            <w:tcW w:w="2155" w:type="dxa"/>
          </w:tcPr>
          <w:p w14:paraId="24D12AD5" w14:textId="77777777" w:rsidR="004758B6" w:rsidRDefault="00000000">
            <w:pPr>
              <w:spacing w:after="0"/>
              <w:rPr>
                <w:lang w:eastAsia="zh-CN"/>
              </w:rPr>
            </w:pPr>
            <w:r>
              <w:rPr>
                <w:lang w:eastAsia="zh-CN"/>
              </w:rPr>
              <w:t>Nokia</w:t>
            </w:r>
          </w:p>
        </w:tc>
        <w:tc>
          <w:tcPr>
            <w:tcW w:w="7807" w:type="dxa"/>
          </w:tcPr>
          <w:p w14:paraId="0764EECC" w14:textId="77777777" w:rsidR="004758B6" w:rsidRDefault="00000000">
            <w:pPr>
              <w:spacing w:after="0"/>
              <w:rPr>
                <w:lang w:eastAsia="zh-CN"/>
              </w:rPr>
            </w:pPr>
            <w:r>
              <w:rPr>
                <w:lang w:eastAsia="zh-CN"/>
              </w:rPr>
              <w:t xml:space="preserve">I can see that both Approach A and Approach B interpretations are made by the commenters. Given this, it is in our view useful to clarify the question in the specification. </w:t>
            </w:r>
          </w:p>
        </w:tc>
      </w:tr>
      <w:tr w:rsidR="004758B6" w14:paraId="21E47920" w14:textId="77777777">
        <w:tc>
          <w:tcPr>
            <w:tcW w:w="2155" w:type="dxa"/>
          </w:tcPr>
          <w:p w14:paraId="4798B77C" w14:textId="77777777" w:rsidR="004758B6" w:rsidRDefault="00000000">
            <w:pPr>
              <w:spacing w:after="0"/>
              <w:rPr>
                <w:lang w:eastAsia="zh-CN"/>
              </w:rPr>
            </w:pPr>
            <w:r>
              <w:rPr>
                <w:lang w:eastAsia="zh-CN"/>
              </w:rPr>
              <w:t>ZTE</w:t>
            </w:r>
          </w:p>
        </w:tc>
        <w:tc>
          <w:tcPr>
            <w:tcW w:w="7807" w:type="dxa"/>
          </w:tcPr>
          <w:p w14:paraId="48C3FD98" w14:textId="77777777" w:rsidR="004758B6" w:rsidRDefault="00000000">
            <w:pPr>
              <w:spacing w:after="0"/>
              <w:rPr>
                <w:lang w:eastAsia="zh-CN"/>
              </w:rPr>
            </w:pPr>
            <w:r>
              <w:rPr>
                <w:lang w:eastAsia="zh-CN"/>
              </w:rPr>
              <w:t>Our understanding is Approach A and fine to reach a conclusion for clarification, if deemed necessary.</w:t>
            </w:r>
          </w:p>
        </w:tc>
      </w:tr>
    </w:tbl>
    <w:p w14:paraId="55079059" w14:textId="77777777" w:rsidR="004758B6" w:rsidRDefault="00000000">
      <w:pPr>
        <w:pStyle w:val="Heading2"/>
      </w:pPr>
      <w:r>
        <w:lastRenderedPageBreak/>
        <w:t>Round 2 discussion</w:t>
      </w:r>
    </w:p>
    <w:p w14:paraId="1E398A5D" w14:textId="77777777" w:rsidR="004758B6" w:rsidRDefault="00000000">
      <w:pPr>
        <w:rPr>
          <w:lang w:val="en-GB"/>
        </w:rPr>
      </w:pPr>
      <w:r>
        <w:rPr>
          <w:lang w:val="en-GB"/>
        </w:rPr>
        <w:t xml:space="preserve">FL has the following summary based on companies input so far. </w:t>
      </w:r>
    </w:p>
    <w:p w14:paraId="207DD812" w14:textId="77777777" w:rsidR="004758B6" w:rsidRDefault="00000000">
      <w:pPr>
        <w:pStyle w:val="ListParagraph"/>
        <w:numPr>
          <w:ilvl w:val="0"/>
          <w:numId w:val="8"/>
        </w:numPr>
        <w:rPr>
          <w:rFonts w:ascii="Times New Roman" w:hAnsi="Times New Roman"/>
          <w:sz w:val="20"/>
          <w:szCs w:val="20"/>
          <w:lang w:val="en-GB"/>
        </w:rPr>
      </w:pPr>
      <w:r>
        <w:rPr>
          <w:rFonts w:ascii="Times New Roman" w:hAnsi="Times New Roman"/>
          <w:sz w:val="20"/>
          <w:szCs w:val="20"/>
          <w:lang w:val="en-GB"/>
        </w:rPr>
        <w:t xml:space="preserve">Majority companies prefer Option A as the interpretation of current specification, at least for PUSCH. </w:t>
      </w:r>
    </w:p>
    <w:p w14:paraId="16D6EC8E" w14:textId="77777777" w:rsidR="004758B6" w:rsidRDefault="00000000">
      <w:pPr>
        <w:pStyle w:val="ListParagraph"/>
        <w:numPr>
          <w:ilvl w:val="1"/>
          <w:numId w:val="8"/>
        </w:numPr>
        <w:rPr>
          <w:rFonts w:ascii="Times New Roman" w:hAnsi="Times New Roman"/>
          <w:sz w:val="20"/>
          <w:szCs w:val="20"/>
          <w:lang w:val="en-GB"/>
        </w:rPr>
      </w:pPr>
      <w:r>
        <w:rPr>
          <w:rFonts w:ascii="Times New Roman" w:hAnsi="Times New Roman"/>
          <w:sz w:val="20"/>
          <w:szCs w:val="20"/>
          <w:lang w:val="en-GB"/>
        </w:rPr>
        <w:t xml:space="preserve">FFS weather clarify in Chair’s notes or with a CR to update specification. </w:t>
      </w:r>
    </w:p>
    <w:p w14:paraId="4E3DB809" w14:textId="77777777" w:rsidR="004758B6" w:rsidRDefault="00000000">
      <w:pPr>
        <w:pStyle w:val="ListParagraph"/>
        <w:numPr>
          <w:ilvl w:val="0"/>
          <w:numId w:val="8"/>
        </w:numPr>
        <w:rPr>
          <w:rFonts w:ascii="Times New Roman" w:hAnsi="Times New Roman"/>
          <w:sz w:val="20"/>
          <w:szCs w:val="20"/>
          <w:lang w:val="en-GB"/>
        </w:rPr>
      </w:pPr>
      <w:r>
        <w:rPr>
          <w:rFonts w:ascii="Times New Roman" w:hAnsi="Times New Roman"/>
          <w:sz w:val="20"/>
          <w:szCs w:val="20"/>
          <w:lang w:val="en-GB"/>
        </w:rPr>
        <w:t xml:space="preserve">For PDSCH, Ericsson and Docomo were questioning whether any clarification is needed. </w:t>
      </w:r>
    </w:p>
    <w:p w14:paraId="30CA10CE" w14:textId="77777777" w:rsidR="004758B6" w:rsidRDefault="00000000">
      <w:pPr>
        <w:pStyle w:val="ListParagraph"/>
        <w:numPr>
          <w:ilvl w:val="1"/>
          <w:numId w:val="8"/>
        </w:numPr>
        <w:rPr>
          <w:rFonts w:ascii="Times New Roman" w:hAnsi="Times New Roman"/>
          <w:sz w:val="20"/>
          <w:szCs w:val="20"/>
          <w:lang w:val="en-GB"/>
        </w:rPr>
      </w:pPr>
      <w:r>
        <w:rPr>
          <w:rFonts w:ascii="Times New Roman" w:hAnsi="Times New Roman"/>
          <w:sz w:val="20"/>
          <w:szCs w:val="20"/>
          <w:lang w:val="en-GB"/>
        </w:rPr>
        <w:t xml:space="preserve">From FL perspective, it is preferred to clarify PDSCH in the same way as for PUSCH. </w:t>
      </w:r>
    </w:p>
    <w:p w14:paraId="52F37904" w14:textId="77777777" w:rsidR="004758B6" w:rsidRDefault="004758B6">
      <w:pPr>
        <w:rPr>
          <w:lang w:val="en-GB"/>
        </w:rPr>
      </w:pPr>
    </w:p>
    <w:p w14:paraId="6176618C" w14:textId="77777777" w:rsidR="004758B6" w:rsidRDefault="00000000">
      <w:pPr>
        <w:rPr>
          <w:lang w:val="en-GB"/>
        </w:rPr>
      </w:pPr>
      <w:r>
        <w:rPr>
          <w:lang w:val="en-GB"/>
        </w:rPr>
        <w:t>Based on the above assessment, the following proposal is made.</w:t>
      </w:r>
    </w:p>
    <w:p w14:paraId="1589228F" w14:textId="77777777" w:rsidR="004758B6" w:rsidRDefault="00000000">
      <w:pPr>
        <w:rPr>
          <w:rFonts w:eastAsia="Microsoft YaHei"/>
          <w:b/>
          <w:bCs/>
          <w:color w:val="000000"/>
        </w:rPr>
      </w:pPr>
      <w:r>
        <w:rPr>
          <w:rFonts w:eastAsia="Microsoft YaHei"/>
          <w:b/>
          <w:bCs/>
          <w:color w:val="000000"/>
          <w:u w:val="single"/>
        </w:rPr>
        <w:t>Proposal 1</w:t>
      </w:r>
      <w:r>
        <w:rPr>
          <w:rFonts w:eastAsia="Microsoft YaHei"/>
          <w:b/>
          <w:bCs/>
          <w:color w:val="000000"/>
        </w:rPr>
        <w:t>: In the case of single-port PTRS with 2 CWs PUSCH, it is clarified that UE’s behavior is firstly determining PTRS to CW association, followed by PTRS time density determination.</w:t>
      </w:r>
    </w:p>
    <w:p w14:paraId="48FF949A" w14:textId="77777777" w:rsidR="004758B6" w:rsidRDefault="00000000">
      <w:pPr>
        <w:pStyle w:val="ListParagraph"/>
        <w:numPr>
          <w:ilvl w:val="0"/>
          <w:numId w:val="9"/>
        </w:numPr>
        <w:rPr>
          <w:rFonts w:ascii="Times New Roman" w:eastAsia="Microsoft YaHei" w:hAnsi="Times New Roman"/>
          <w:b/>
          <w:bCs/>
          <w:color w:val="000000"/>
          <w:sz w:val="20"/>
          <w:szCs w:val="20"/>
        </w:rPr>
      </w:pPr>
      <w:r>
        <w:rPr>
          <w:noProof/>
        </w:rPr>
        <mc:AlternateContent>
          <mc:Choice Requires="wps">
            <w:drawing>
              <wp:anchor distT="45720" distB="45720" distL="114300" distR="114300" simplePos="0" relativeHeight="251667456" behindDoc="0" locked="0" layoutInCell="1" allowOverlap="1" wp14:anchorId="2B3F958B" wp14:editId="4158C093">
                <wp:simplePos x="0" y="0"/>
                <wp:positionH relativeFrom="margin">
                  <wp:align>left</wp:align>
                </wp:positionH>
                <wp:positionV relativeFrom="paragraph">
                  <wp:posOffset>357505</wp:posOffset>
                </wp:positionV>
                <wp:extent cx="6318250" cy="1352550"/>
                <wp:effectExtent l="0" t="0" r="25400" b="19050"/>
                <wp:wrapSquare wrapText="bothSides"/>
                <wp:docPr id="3466033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1352550"/>
                        </a:xfrm>
                        <a:prstGeom prst="rect">
                          <a:avLst/>
                        </a:prstGeom>
                        <a:solidFill>
                          <a:srgbClr val="FFFFFF"/>
                        </a:solidFill>
                        <a:ln w="9525">
                          <a:solidFill>
                            <a:srgbClr val="000000"/>
                          </a:solidFill>
                          <a:miter lim="800000"/>
                        </a:ln>
                      </wps:spPr>
                      <wps:txbx>
                        <w:txbxContent>
                          <w:p w14:paraId="0B439F86" w14:textId="77777777" w:rsidR="004758B6" w:rsidRDefault="00000000">
                            <w:pPr>
                              <w:rPr>
                                <w:color w:val="FF0000"/>
                              </w:rPr>
                            </w:pPr>
                            <w:r>
                              <w:t xml:space="preserve">If a UE is scheduled with two codewords, </w:t>
                            </w:r>
                            <w:r>
                              <w:rPr>
                                <w:color w:val="FF0000"/>
                              </w:rPr>
                              <w:t>the following procedure is performed before PT-RS port time density determination.</w:t>
                            </w:r>
                          </w:p>
                          <w:p w14:paraId="3C4B7D85" w14:textId="77777777" w:rsidR="004758B6" w:rsidRDefault="00000000">
                            <w:r>
                              <w:t xml:space="preserve">-    if the UE is configured with the higher layer parameter </w:t>
                            </w:r>
                            <w:proofErr w:type="spellStart"/>
                            <w:r>
                              <w:rPr>
                                <w:i/>
                                <w:iCs/>
                              </w:rPr>
                              <w:t>maxNrofPorts</w:t>
                            </w:r>
                            <w:proofErr w:type="spellEnd"/>
                            <w:r>
                              <w:t xml:space="preserve"> in </w:t>
                            </w:r>
                            <w:r>
                              <w:rPr>
                                <w:i/>
                                <w:iCs/>
                              </w:rPr>
                              <w:t>PTRS-</w:t>
                            </w:r>
                            <w:proofErr w:type="spellStart"/>
                            <w:r>
                              <w:rPr>
                                <w:i/>
                                <w:iCs/>
                              </w:rPr>
                              <w:t>UplinkConfig</w:t>
                            </w:r>
                            <w:proofErr w:type="spellEnd"/>
                            <w:r>
                              <w:t xml:space="preserve"> set to 'n1', the PT-RS port is associated with the one of DM-RS ports indicated by DCI field </w:t>
                            </w:r>
                            <w:r>
                              <w:rPr>
                                <w:i/>
                                <w:iCs/>
                              </w:rPr>
                              <w:t>PTRS-DMRS association </w:t>
                            </w:r>
                            <w:r>
                              <w:t>for the codeword with the higher MCS. If the MCS indices of the two codewords are the same, the PT-RS antenna port is associated with codeword 0. When a codeword is scheduled to transmit PUSCH for retransmission, the MCS for determining PT-RS association to codeword is obtained from the DCI for the same transport block in the initial transmission.</w:t>
                            </w:r>
                          </w:p>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Text Box 2" o:spid="_x0000_s1026" o:spt="202" type="#_x0000_t202" style="position:absolute;left:0pt;margin-top:28.15pt;height:106.5pt;width:497.5pt;mso-position-horizontal:left;mso-position-horizontal-relative:margin;mso-wrap-distance-bottom:3.6pt;mso-wrap-distance-left:9pt;mso-wrap-distance-right:9pt;mso-wrap-distance-top:3.6pt;z-index:251667456;mso-width-relative:page;mso-height-relative:page;" fillcolor="#FFFFFF" filled="t" stroked="t" coordsize="21600,21600" o:gfxdata="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9go4P9cAAAAHAQAADwAAAAAAAAABACAAAAAiAAAAZHJzL2Rvd25yZXYueG1sUEsB&#10;AhQAFAAAAAgAh07iQPobfJ4vAgAAgwQAAA4AAAAAAAAAAQAgAAAAJgEAAGRycy9lMm9Eb2MueG1s&#10;UEsFBgAAAAAGAAYAWQEAAMcFAAAAAA==&#10;">
                <v:fill on="t" focussize="0,0"/>
                <v:stroke color="#000000" miterlimit="8" joinstyle="miter"/>
                <v:imagedata o:title=""/>
                <o:lock v:ext="edit" aspectratio="f"/>
                <v:textbox>
                  <w:txbxContent>
                    <w:p>
                      <w:pPr>
                        <w:rPr>
                          <w:color w:val="FF0000"/>
                        </w:rPr>
                      </w:pPr>
                      <w:r>
                        <w:t xml:space="preserve">If a UE is scheduled with two codewords, </w:t>
                      </w:r>
                      <w:r>
                        <w:rPr>
                          <w:color w:val="FF0000"/>
                        </w:rPr>
                        <w:t>the following procedure is performed before PT-RS port time density determination.</w:t>
                      </w:r>
                    </w:p>
                    <w:p>
                      <w:r>
                        <w:t xml:space="preserve">-    if the UE is configured with the higher layer parameter </w:t>
                      </w:r>
                      <w:r>
                        <w:rPr>
                          <w:i/>
                          <w:iCs/>
                        </w:rPr>
                        <w:t>maxNrofPorts</w:t>
                      </w:r>
                      <w:r>
                        <w:t xml:space="preserve"> in </w:t>
                      </w:r>
                      <w:r>
                        <w:rPr>
                          <w:i/>
                          <w:iCs/>
                        </w:rPr>
                        <w:t>PTRS-UplinkConfig</w:t>
                      </w:r>
                      <w:r>
                        <w:t xml:space="preserve"> set to 'n1', the PT-RS port is associated with the one of DM-RS ports indicated by DCI field </w:t>
                      </w:r>
                      <w:r>
                        <w:rPr>
                          <w:i/>
                          <w:iCs/>
                        </w:rPr>
                        <w:t>PTRS-DMRS association </w:t>
                      </w:r>
                      <w:r>
                        <w:t>for the codeword with the higher MCS. If the MCS indices of the two codewords are the same, the PT-RS antenna port is associated with codeword 0. When a codeword is scheduled to transmit PUSCH for retransmission, the MCS for determining PT-RS association to codeword is obtained from the DCI for the same transport block in the initial transmission.</w:t>
                      </w:r>
                    </w:p>
                  </w:txbxContent>
                </v:textbox>
                <w10:wrap type="square"/>
              </v:shape>
            </w:pict>
          </mc:Fallback>
        </mc:AlternateContent>
      </w:r>
      <w:r>
        <w:rPr>
          <w:rFonts w:ascii="Times New Roman" w:eastAsia="Microsoft YaHei" w:hAnsi="Times New Roman"/>
          <w:b/>
          <w:bCs/>
          <w:color w:val="000000"/>
          <w:sz w:val="20"/>
          <w:szCs w:val="20"/>
        </w:rPr>
        <w:t xml:space="preserve">FFS: whether capture the above in specification with CR. If needed, the following TP can be a starting point for discussion. </w:t>
      </w:r>
    </w:p>
    <w:p w14:paraId="0FF4AAD2" w14:textId="77777777" w:rsidR="004758B6" w:rsidRDefault="00000000">
      <w:pPr>
        <w:pStyle w:val="ListParagraph"/>
        <w:numPr>
          <w:ilvl w:val="0"/>
          <w:numId w:val="9"/>
        </w:numPr>
        <w:rPr>
          <w:rFonts w:ascii="Times New Roman" w:eastAsia="Microsoft YaHei" w:hAnsi="Times New Roman"/>
          <w:b/>
          <w:bCs/>
          <w:color w:val="000000"/>
          <w:sz w:val="20"/>
          <w:szCs w:val="20"/>
        </w:rPr>
      </w:pPr>
      <w:r>
        <w:rPr>
          <w:rFonts w:ascii="Times New Roman" w:eastAsia="Microsoft YaHei" w:hAnsi="Times New Roman"/>
          <w:b/>
          <w:bCs/>
          <w:color w:val="000000"/>
          <w:sz w:val="20"/>
          <w:szCs w:val="20"/>
        </w:rPr>
        <w:t xml:space="preserve">FFS: whether/how to clarify the similar case for 2 CWs PDSCH. </w:t>
      </w:r>
    </w:p>
    <w:p w14:paraId="3849E9B8" w14:textId="77777777" w:rsidR="004758B6" w:rsidRDefault="004758B6">
      <w:pPr>
        <w:rPr>
          <w:rFonts w:eastAsia="Microsoft YaHei"/>
          <w:b/>
          <w:bCs/>
          <w:color w:val="000000"/>
        </w:rPr>
      </w:pPr>
    </w:p>
    <w:p w14:paraId="069810DD" w14:textId="77777777" w:rsidR="004758B6" w:rsidRDefault="00000000">
      <w:pPr>
        <w:rPr>
          <w:rFonts w:eastAsia="Microsoft YaHei"/>
          <w:color w:val="000000"/>
        </w:rPr>
      </w:pPr>
      <w:proofErr w:type="gramStart"/>
      <w:r>
        <w:rPr>
          <w:rFonts w:eastAsia="Microsoft YaHei"/>
          <w:color w:val="000000"/>
        </w:rPr>
        <w:t>Companies</w:t>
      </w:r>
      <w:proofErr w:type="gramEnd"/>
      <w:r>
        <w:rPr>
          <w:rFonts w:eastAsia="Microsoft YaHei"/>
          <w:color w:val="000000"/>
        </w:rPr>
        <w:t xml:space="preserve"> please provide comments to the above proposal 1 if any. </w:t>
      </w:r>
    </w:p>
    <w:tbl>
      <w:tblPr>
        <w:tblStyle w:val="TableGrid"/>
        <w:tblW w:w="0" w:type="auto"/>
        <w:tblLook w:val="04A0" w:firstRow="1" w:lastRow="0" w:firstColumn="1" w:lastColumn="0" w:noHBand="0" w:noVBand="1"/>
      </w:tblPr>
      <w:tblGrid>
        <w:gridCol w:w="2155"/>
        <w:gridCol w:w="7807"/>
      </w:tblGrid>
      <w:tr w:rsidR="004758B6" w14:paraId="67EBD9C9" w14:textId="77777777">
        <w:tc>
          <w:tcPr>
            <w:tcW w:w="2155" w:type="dxa"/>
          </w:tcPr>
          <w:p w14:paraId="12CB99AC" w14:textId="77777777" w:rsidR="004758B6" w:rsidRDefault="00000000">
            <w:pPr>
              <w:spacing w:before="0" w:after="0"/>
              <w:jc w:val="left"/>
            </w:pPr>
            <w:r>
              <w:t>Company Name</w:t>
            </w:r>
          </w:p>
        </w:tc>
        <w:tc>
          <w:tcPr>
            <w:tcW w:w="7807" w:type="dxa"/>
          </w:tcPr>
          <w:p w14:paraId="27D3157B" w14:textId="77777777" w:rsidR="004758B6" w:rsidRDefault="00000000">
            <w:pPr>
              <w:spacing w:before="0" w:after="0"/>
              <w:jc w:val="left"/>
            </w:pPr>
            <w:r>
              <w:t>Comments</w:t>
            </w:r>
          </w:p>
        </w:tc>
      </w:tr>
      <w:tr w:rsidR="004758B6" w14:paraId="3911B0A3" w14:textId="77777777">
        <w:tc>
          <w:tcPr>
            <w:tcW w:w="2155" w:type="dxa"/>
          </w:tcPr>
          <w:p w14:paraId="5E0EE682" w14:textId="77777777" w:rsidR="004758B6" w:rsidRDefault="00000000">
            <w:pPr>
              <w:spacing w:before="0" w:after="0"/>
              <w:jc w:val="left"/>
              <w:rPr>
                <w:rFonts w:eastAsia="PMingLiU"/>
                <w:lang w:eastAsia="zh-TW"/>
              </w:rPr>
            </w:pPr>
            <w:r>
              <w:rPr>
                <w:rFonts w:eastAsia="PMingLiU"/>
                <w:lang w:eastAsia="zh-TW"/>
              </w:rPr>
              <w:t>Samsung</w:t>
            </w:r>
          </w:p>
        </w:tc>
        <w:tc>
          <w:tcPr>
            <w:tcW w:w="7807" w:type="dxa"/>
          </w:tcPr>
          <w:p w14:paraId="7CADF80B" w14:textId="77777777" w:rsidR="004758B6" w:rsidRDefault="00000000">
            <w:pPr>
              <w:spacing w:before="0" w:after="0"/>
              <w:jc w:val="left"/>
              <w:rPr>
                <w:rFonts w:eastAsia="PMingLiU"/>
                <w:lang w:eastAsia="zh-TW"/>
              </w:rPr>
            </w:pPr>
            <w:r>
              <w:rPr>
                <w:rFonts w:eastAsia="PMingLiU"/>
                <w:lang w:eastAsia="zh-TW"/>
              </w:rPr>
              <w:t xml:space="preserve">Since there is common understanding (Approach A) among the companies for the case of </w:t>
            </w:r>
            <w:proofErr w:type="gramStart"/>
            <w:r>
              <w:rPr>
                <w:rFonts w:eastAsia="PMingLiU"/>
                <w:lang w:eastAsia="zh-TW"/>
              </w:rPr>
              <w:t>PUSCH,  we</w:t>
            </w:r>
            <w:proofErr w:type="gramEnd"/>
            <w:r>
              <w:rPr>
                <w:rFonts w:eastAsia="PMingLiU"/>
                <w:lang w:eastAsia="zh-TW"/>
              </w:rPr>
              <w:t xml:space="preserve"> suggest not to introduce TP. Although we don’t think a conclusion is needed (since company has a common understanding), but if majority company wants, we are OK with a conclusion as Moderator suggested.</w:t>
            </w:r>
          </w:p>
        </w:tc>
      </w:tr>
      <w:tr w:rsidR="004758B6" w14:paraId="7FBEE9D3" w14:textId="77777777">
        <w:tc>
          <w:tcPr>
            <w:tcW w:w="2155" w:type="dxa"/>
          </w:tcPr>
          <w:p w14:paraId="76B233C1" w14:textId="77777777" w:rsidR="004758B6" w:rsidRDefault="004758B6">
            <w:pPr>
              <w:spacing w:before="0" w:after="0"/>
              <w:jc w:val="left"/>
              <w:rPr>
                <w:lang w:eastAsia="zh-CN"/>
              </w:rPr>
            </w:pPr>
          </w:p>
        </w:tc>
        <w:tc>
          <w:tcPr>
            <w:tcW w:w="7807" w:type="dxa"/>
          </w:tcPr>
          <w:p w14:paraId="2D786B73" w14:textId="77777777" w:rsidR="004758B6" w:rsidRDefault="004758B6">
            <w:pPr>
              <w:spacing w:before="0" w:after="0"/>
              <w:jc w:val="left"/>
              <w:rPr>
                <w:lang w:eastAsia="zh-CN"/>
              </w:rPr>
            </w:pPr>
          </w:p>
        </w:tc>
      </w:tr>
    </w:tbl>
    <w:p w14:paraId="5A1D35B1" w14:textId="77777777" w:rsidR="004758B6" w:rsidRDefault="004758B6">
      <w:pPr>
        <w:rPr>
          <w:rFonts w:eastAsia="Microsoft YaHei"/>
          <w:b/>
          <w:bCs/>
          <w:color w:val="000000"/>
        </w:rPr>
      </w:pPr>
    </w:p>
    <w:p w14:paraId="2DA1B2D3" w14:textId="77777777" w:rsidR="004758B6" w:rsidRDefault="004758B6"/>
    <w:p w14:paraId="2F56153B" w14:textId="77777777" w:rsidR="004758B6" w:rsidRDefault="00000000">
      <w:pPr>
        <w:pStyle w:val="Heading1"/>
      </w:pPr>
      <w:bookmarkStart w:id="8" w:name="_Ref173602528"/>
      <w:r>
        <w:t>PTRS to CW association for PUSCH retransmission</w:t>
      </w:r>
      <w:bookmarkEnd w:id="8"/>
    </w:p>
    <w:p w14:paraId="14794457" w14:textId="77777777" w:rsidR="004758B6" w:rsidRDefault="00000000">
      <w:pPr>
        <w:rPr>
          <w:lang w:eastAsia="zh-CN"/>
        </w:rPr>
      </w:pPr>
      <w:r>
        <w:rPr>
          <w:lang w:val="en-GB"/>
        </w:rPr>
        <w:t xml:space="preserve">As mentioned in Section </w:t>
      </w:r>
      <w:r>
        <w:rPr>
          <w:lang w:val="en-GB"/>
        </w:rPr>
        <w:fldChar w:fldCharType="begin"/>
      </w:r>
      <w:r>
        <w:rPr>
          <w:lang w:val="en-GB"/>
        </w:rPr>
        <w:instrText xml:space="preserve"> REF _Ref173604061 \r \h </w:instrText>
      </w:r>
      <w:r>
        <w:rPr>
          <w:lang w:val="en-GB"/>
        </w:rPr>
      </w:r>
      <w:r>
        <w:rPr>
          <w:lang w:val="en-GB"/>
        </w:rPr>
        <w:fldChar w:fldCharType="separate"/>
      </w:r>
      <w:r>
        <w:rPr>
          <w:lang w:val="en-GB"/>
        </w:rPr>
        <w:t>2</w:t>
      </w:r>
      <w:r>
        <w:rPr>
          <w:lang w:val="en-GB"/>
        </w:rPr>
        <w:fldChar w:fldCharType="end"/>
      </w:r>
      <w:r>
        <w:rPr>
          <w:lang w:val="en-GB"/>
        </w:rPr>
        <w:t xml:space="preserve">, </w:t>
      </w:r>
      <w:r>
        <w:t xml:space="preserve">there is a discrepancy between PTRS time density determination and PTRS to CW association for PUSCH retransmission with 2 CWs. The discrepancy is again illustrated below. </w:t>
      </w:r>
    </w:p>
    <w:p w14:paraId="0B3F7129" w14:textId="77777777" w:rsidR="004758B6" w:rsidRDefault="00000000">
      <w:r>
        <w:t>The following is specification for PTRS time density where initial MCS is used when below conditions are both satisfied.</w:t>
      </w:r>
    </w:p>
    <w:p w14:paraId="1BE4E42D" w14:textId="77777777" w:rsidR="004758B6" w:rsidRDefault="00000000">
      <w:pPr>
        <w:pStyle w:val="ListParagraph"/>
        <w:numPr>
          <w:ilvl w:val="0"/>
          <w:numId w:val="10"/>
        </w:numPr>
        <w:rPr>
          <w:rFonts w:ascii="Times New Roman" w:hAnsi="Times New Roman"/>
          <w:sz w:val="20"/>
          <w:szCs w:val="20"/>
        </w:rPr>
      </w:pPr>
      <w:r>
        <w:rPr>
          <w:rFonts w:ascii="Times New Roman" w:hAnsi="Times New Roman"/>
          <w:sz w:val="20"/>
          <w:szCs w:val="20"/>
        </w:rPr>
        <w:t>1) It is PUSCH retransmission</w:t>
      </w:r>
    </w:p>
    <w:p w14:paraId="37124141" w14:textId="77777777" w:rsidR="004758B6" w:rsidRDefault="00000000">
      <w:pPr>
        <w:pStyle w:val="ListParagraph"/>
        <w:numPr>
          <w:ilvl w:val="0"/>
          <w:numId w:val="10"/>
        </w:numPr>
        <w:rPr>
          <w:rFonts w:ascii="Times New Roman" w:hAnsi="Times New Roman"/>
          <w:sz w:val="20"/>
          <w:szCs w:val="20"/>
        </w:rPr>
      </w:pPr>
      <w:r>
        <w:rPr>
          <w:noProof/>
        </w:rPr>
        <mc:AlternateContent>
          <mc:Choice Requires="wps">
            <w:drawing>
              <wp:anchor distT="45720" distB="45720" distL="114300" distR="114300" simplePos="0" relativeHeight="251664384" behindDoc="0" locked="0" layoutInCell="1" allowOverlap="1" wp14:anchorId="04E0A165" wp14:editId="389C58F0">
                <wp:simplePos x="0" y="0"/>
                <wp:positionH relativeFrom="margin">
                  <wp:align>left</wp:align>
                </wp:positionH>
                <wp:positionV relativeFrom="paragraph">
                  <wp:posOffset>205740</wp:posOffset>
                </wp:positionV>
                <wp:extent cx="6280150" cy="717550"/>
                <wp:effectExtent l="0" t="0" r="25400" b="25400"/>
                <wp:wrapSquare wrapText="bothSides"/>
                <wp:docPr id="10534655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0150" cy="717550"/>
                        </a:xfrm>
                        <a:prstGeom prst="rect">
                          <a:avLst/>
                        </a:prstGeom>
                        <a:solidFill>
                          <a:srgbClr val="FFFFFF"/>
                        </a:solidFill>
                        <a:ln w="9525">
                          <a:solidFill>
                            <a:srgbClr val="000000"/>
                          </a:solidFill>
                          <a:miter lim="800000"/>
                        </a:ln>
                      </wps:spPr>
                      <wps:txbx>
                        <w:txbxContent>
                          <w:p w14:paraId="27AA0F2E" w14:textId="77777777" w:rsidR="004758B6" w:rsidRDefault="00000000">
                            <w:r>
                              <w:t xml:space="preserve">When a UE is scheduled to transmit PUSCH for retransmission, if the UE is scheduled with </w:t>
                            </w:r>
                            <w:r>
                              <w:rPr>
                                <w:i/>
                                <w:iCs/>
                              </w:rPr>
                              <w:t>I</w:t>
                            </w:r>
                            <w:r>
                              <w:rPr>
                                <w:i/>
                                <w:iCs/>
                                <w:vertAlign w:val="subscript"/>
                              </w:rPr>
                              <w:t>MCS</w:t>
                            </w:r>
                            <w:r>
                              <w:t xml:space="preserve"> &gt; </w:t>
                            </w:r>
                            <w:r>
                              <w:rPr>
                                <w:i/>
                                <w:iCs/>
                              </w:rPr>
                              <w:t>V</w:t>
                            </w:r>
                            <w:r>
                              <w:t xml:space="preserve">, where </w:t>
                            </w:r>
                            <w:r>
                              <w:rPr>
                                <w:i/>
                                <w:iCs/>
                              </w:rPr>
                              <w:t>V</w:t>
                            </w:r>
                            <w:r>
                              <w:t xml:space="preserve"> = 28 for MCS Table 5.1.3.1-1 and MCS Table 5.1.3.1-3 and </w:t>
                            </w:r>
                            <w:r>
                              <w:rPr>
                                <w:i/>
                                <w:iCs/>
                              </w:rPr>
                              <w:t>V</w:t>
                            </w:r>
                            <w:r>
                              <w:t xml:space="preserve"> = 27 for MCS Table 5.1.3.1-2, respectively, the MCS for PT-RS time-density determination is obtained from the DCI for the same transport block in the initial transmission, which is smaller than or equal to V.</w:t>
                            </w:r>
                          </w:p>
                          <w:p w14:paraId="42152E7A" w14:textId="77777777" w:rsidR="004758B6" w:rsidRDefault="004758B6"/>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Text Box 2" o:spid="_x0000_s1026" o:spt="202" type="#_x0000_t202" style="position:absolute;left:0pt;margin-top:16.2pt;height:56.5pt;width:494.5pt;mso-position-horizontal:left;mso-position-horizontal-relative:margin;mso-wrap-distance-bottom:3.6pt;mso-wrap-distance-left:9pt;mso-wrap-distance-right:9pt;mso-wrap-distance-top:3.6pt;z-index:251664384;mso-width-relative:page;mso-height-relative:page;" fillcolor="#FFFFFF" filled="t" stroked="t" coordsize="21600,21600" o:gfxdata="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M/+brdcAAAAHAQAADwAAAAAAAAABACAAAAAiAAAAZHJzL2Rvd25yZXYueG1sUEsB&#10;AhQAFAAAAAgAh07iQLVj+LcvAgAAgwQAAA4AAAAAAAAAAQAgAAAAJgEAAGRycy9lMm9Eb2MueG1s&#10;UEsFBgAAAAAGAAYAWQEAAMcFAAAAAA==&#10;">
                <v:fill on="t" focussize="0,0"/>
                <v:stroke color="#000000" miterlimit="8" joinstyle="miter"/>
                <v:imagedata o:title=""/>
                <o:lock v:ext="edit" aspectratio="f"/>
                <v:textbox>
                  <w:txbxContent>
                    <w:p>
                      <w:r>
                        <w:t xml:space="preserve">When a UE is scheduled to transmit PUSCH for retransmission, if the UE is scheduled with </w:t>
                      </w:r>
                      <w:r>
                        <w:rPr>
                          <w:i/>
                          <w:iCs/>
                        </w:rPr>
                        <w:t>I</w:t>
                      </w:r>
                      <w:r>
                        <w:rPr>
                          <w:i/>
                          <w:iCs/>
                          <w:vertAlign w:val="subscript"/>
                        </w:rPr>
                        <w:t>MCS</w:t>
                      </w:r>
                      <w:r>
                        <w:t xml:space="preserve"> &gt; </w:t>
                      </w:r>
                      <w:r>
                        <w:rPr>
                          <w:i/>
                          <w:iCs/>
                        </w:rPr>
                        <w:t>V</w:t>
                      </w:r>
                      <w:r>
                        <w:t xml:space="preserve">, where </w:t>
                      </w:r>
                      <w:r>
                        <w:rPr>
                          <w:i/>
                          <w:iCs/>
                        </w:rPr>
                        <w:t>V</w:t>
                      </w:r>
                      <w:r>
                        <w:t xml:space="preserve"> = 28 for MCS Table 5.1.3.1-1 and MCS Table 5.1.3.1-3 and </w:t>
                      </w:r>
                      <w:r>
                        <w:rPr>
                          <w:i/>
                          <w:iCs/>
                        </w:rPr>
                        <w:t>V</w:t>
                      </w:r>
                      <w:r>
                        <w:t xml:space="preserve"> = 27 for MCS Table 5.1.3.1-2, respectively, the MCS for PT-RS time-density determination is obtained from the DCI for the same transport block in the initial transmission, which is smaller than or equal to V.</w:t>
                      </w:r>
                    </w:p>
                    <w:p/>
                  </w:txbxContent>
                </v:textbox>
                <w10:wrap type="square"/>
              </v:shape>
            </w:pict>
          </mc:Fallback>
        </mc:AlternateContent>
      </w:r>
      <w:r>
        <w:rPr>
          <w:rFonts w:ascii="Times New Roman" w:hAnsi="Times New Roman"/>
          <w:sz w:val="20"/>
          <w:szCs w:val="20"/>
        </w:rPr>
        <w:t xml:space="preserve">2) Reserved MCS is used </w:t>
      </w:r>
    </w:p>
    <w:p w14:paraId="525E2936" w14:textId="77777777" w:rsidR="004758B6" w:rsidRDefault="00000000">
      <w:r>
        <w:rPr>
          <w:noProof/>
        </w:rPr>
        <w:lastRenderedPageBreak/>
        <mc:AlternateContent>
          <mc:Choice Requires="wps">
            <w:drawing>
              <wp:anchor distT="45720" distB="45720" distL="114300" distR="114300" simplePos="0" relativeHeight="251665408" behindDoc="0" locked="0" layoutInCell="1" allowOverlap="1" wp14:anchorId="610CC055" wp14:editId="413B7238">
                <wp:simplePos x="0" y="0"/>
                <wp:positionH relativeFrom="margin">
                  <wp:align>left</wp:align>
                </wp:positionH>
                <wp:positionV relativeFrom="paragraph">
                  <wp:posOffset>1212215</wp:posOffset>
                </wp:positionV>
                <wp:extent cx="6324600" cy="1130300"/>
                <wp:effectExtent l="0" t="0" r="19050" b="12700"/>
                <wp:wrapSquare wrapText="bothSides"/>
                <wp:docPr id="11658220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130300"/>
                        </a:xfrm>
                        <a:prstGeom prst="rect">
                          <a:avLst/>
                        </a:prstGeom>
                        <a:solidFill>
                          <a:srgbClr val="FFFFFF"/>
                        </a:solidFill>
                        <a:ln w="9525">
                          <a:solidFill>
                            <a:srgbClr val="000000"/>
                          </a:solidFill>
                          <a:miter lim="800000"/>
                        </a:ln>
                      </wps:spPr>
                      <wps:txbx>
                        <w:txbxContent>
                          <w:p w14:paraId="6DF99810" w14:textId="77777777" w:rsidR="004758B6" w:rsidRDefault="00000000">
                            <w:r>
                              <w:t>If a UE is scheduled with two codewords,</w:t>
                            </w:r>
                          </w:p>
                          <w:p w14:paraId="1B4B830B" w14:textId="77777777" w:rsidR="004758B6" w:rsidRDefault="00000000">
                            <w:r>
                              <w:t xml:space="preserve">-    if the UE is configured with the higher layer parameter </w:t>
                            </w:r>
                            <w:proofErr w:type="spellStart"/>
                            <w:r>
                              <w:rPr>
                                <w:i/>
                                <w:iCs/>
                              </w:rPr>
                              <w:t>maxNrofPorts</w:t>
                            </w:r>
                            <w:proofErr w:type="spellEnd"/>
                            <w:r>
                              <w:t xml:space="preserve"> in </w:t>
                            </w:r>
                            <w:r>
                              <w:rPr>
                                <w:i/>
                                <w:iCs/>
                              </w:rPr>
                              <w:t>PTRS-</w:t>
                            </w:r>
                            <w:proofErr w:type="spellStart"/>
                            <w:r>
                              <w:rPr>
                                <w:i/>
                                <w:iCs/>
                              </w:rPr>
                              <w:t>UplinkConfig</w:t>
                            </w:r>
                            <w:proofErr w:type="spellEnd"/>
                            <w:r>
                              <w:t xml:space="preserve"> set to 'n1', the PT-RS port is associated with the one of DM-RS ports indicated by DCI field </w:t>
                            </w:r>
                            <w:r>
                              <w:rPr>
                                <w:i/>
                                <w:iCs/>
                              </w:rPr>
                              <w:t>PTRS-DMRS association </w:t>
                            </w:r>
                            <w:r>
                              <w:t>for the codeword with the higher MCS. If the MCS indices of the two codewords are the same, the PT-RS antenna port is associated with codeword 0. When a codeword is scheduled to transmit PUSCH for retransmission, the MCS for determining PT-RS association to codeword is obtained from the DCI for the same transport block in the initial transmission.</w:t>
                            </w:r>
                          </w:p>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Text Box 2" o:spid="_x0000_s1026" o:spt="202" type="#_x0000_t202" style="position:absolute;left:0pt;margin-top:95.45pt;height:89pt;width:498pt;mso-position-horizontal:left;mso-position-horizontal-relative:margin;mso-wrap-distance-bottom:3.6pt;mso-wrap-distance-left:9pt;mso-wrap-distance-right:9pt;mso-wrap-distance-top:3.6pt;z-index:251665408;mso-width-relative:page;mso-height-relative:page;" fillcolor="#FFFFFF" filled="t" stroked="t" coordsize="21600,21600" o:gfxdata="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G/b7r9YAAAAIAQAADwAAAAAAAAABACAAAAAiAAAAZHJzL2Rvd25yZXYueG1sUEsB&#10;AhQAFAAAAAgAh07iQIkNgg0wAgAAhAQAAA4AAAAAAAAAAQAgAAAAJQEAAGRycy9lMm9Eb2MueG1s&#10;UEsFBgAAAAAGAAYAWQEAAMcFAAAAAA==&#10;">
                <v:fill on="t" focussize="0,0"/>
                <v:stroke color="#000000" miterlimit="8" joinstyle="miter"/>
                <v:imagedata o:title=""/>
                <o:lock v:ext="edit" aspectratio="f"/>
                <v:textbox>
                  <w:txbxContent>
                    <w:p>
                      <w:r>
                        <w:t>If a UE is scheduled with two codewords,</w:t>
                      </w:r>
                    </w:p>
                    <w:p>
                      <w:r>
                        <w:t xml:space="preserve">-    if the UE is configured with the higher layer parameter </w:t>
                      </w:r>
                      <w:r>
                        <w:rPr>
                          <w:i/>
                          <w:iCs/>
                        </w:rPr>
                        <w:t>maxNrofPorts</w:t>
                      </w:r>
                      <w:r>
                        <w:t xml:space="preserve"> in </w:t>
                      </w:r>
                      <w:r>
                        <w:rPr>
                          <w:i/>
                          <w:iCs/>
                        </w:rPr>
                        <w:t>PTRS-UplinkConfig</w:t>
                      </w:r>
                      <w:r>
                        <w:t xml:space="preserve"> set to 'n1', the PT-RS port is associated with the one of DM-RS ports indicated by DCI field </w:t>
                      </w:r>
                      <w:r>
                        <w:rPr>
                          <w:i/>
                          <w:iCs/>
                        </w:rPr>
                        <w:t>PTRS-DMRS association </w:t>
                      </w:r>
                      <w:r>
                        <w:t>for the codeword with the higher MCS. If the MCS indices of the two codewords are the same, the PT-RS antenna port is associated with codeword 0. When a codeword is scheduled to transmit PUSCH for retransmission, the MCS for determining PT-RS association to codeword is obtained from the DCI for the same transport block in the initial transmission.</w:t>
                      </w:r>
                    </w:p>
                  </w:txbxContent>
                </v:textbox>
                <w10:wrap type="square"/>
              </v:shape>
            </w:pict>
          </mc:Fallback>
        </mc:AlternateContent>
      </w:r>
      <w:r>
        <w:t>While for PTRS to CW association, according to following specification, initial MCS is used when only condition 1) is satisfied, i.e., it is PUSCH retransmission.</w:t>
      </w:r>
    </w:p>
    <w:p w14:paraId="015FEB37" w14:textId="77777777" w:rsidR="004758B6" w:rsidRDefault="00000000">
      <w:r>
        <w:t xml:space="preserve">It is preferred to align the PTRS time density determination and PTRS to CW association for PUSCH retransmission with 2 CWs. </w:t>
      </w:r>
    </w:p>
    <w:p w14:paraId="57CF545A" w14:textId="77777777" w:rsidR="004758B6" w:rsidRDefault="00000000">
      <w:r>
        <w:rPr>
          <w:rFonts w:eastAsia="Microsoft YaHei"/>
          <w:b/>
          <w:bCs/>
          <w:color w:val="000000"/>
          <w:u w:val="single"/>
        </w:rPr>
        <w:t>Proposal 2</w:t>
      </w:r>
      <w:r>
        <w:rPr>
          <w:rFonts w:eastAsia="Microsoft YaHei"/>
          <w:b/>
          <w:bCs/>
          <w:color w:val="000000"/>
        </w:rPr>
        <w:t>: If option 2 is adopted, t</w:t>
      </w:r>
      <w:r>
        <w:rPr>
          <w:b/>
          <w:bCs/>
        </w:rPr>
        <w:t xml:space="preserve">he following TP is adopted for Section 6.2.3.1 in TS38.214 Rel-18. </w:t>
      </w:r>
    </w:p>
    <w:p w14:paraId="47E3E374" w14:textId="77777777" w:rsidR="004758B6" w:rsidRDefault="00000000">
      <w:r>
        <w:rPr>
          <w:noProof/>
        </w:rPr>
        <mc:AlternateContent>
          <mc:Choice Requires="wps">
            <w:drawing>
              <wp:anchor distT="45720" distB="45720" distL="114300" distR="114300" simplePos="0" relativeHeight="251666432" behindDoc="0" locked="0" layoutInCell="1" allowOverlap="1" wp14:anchorId="2099930E" wp14:editId="3EAB4937">
                <wp:simplePos x="0" y="0"/>
                <wp:positionH relativeFrom="margin">
                  <wp:align>left</wp:align>
                </wp:positionH>
                <wp:positionV relativeFrom="paragraph">
                  <wp:posOffset>13970</wp:posOffset>
                </wp:positionV>
                <wp:extent cx="6299200" cy="2305050"/>
                <wp:effectExtent l="0" t="0" r="25400" b="19050"/>
                <wp:wrapSquare wrapText="bothSides"/>
                <wp:docPr id="4232600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2305050"/>
                        </a:xfrm>
                        <a:prstGeom prst="rect">
                          <a:avLst/>
                        </a:prstGeom>
                        <a:solidFill>
                          <a:srgbClr val="FFFFFF"/>
                        </a:solidFill>
                        <a:ln w="9525">
                          <a:solidFill>
                            <a:srgbClr val="000000"/>
                          </a:solidFill>
                          <a:miter lim="800000"/>
                        </a:ln>
                      </wps:spPr>
                      <wps:txbx>
                        <w:txbxContent>
                          <w:p w14:paraId="7DD6893E" w14:textId="77777777" w:rsidR="004758B6" w:rsidRDefault="00000000">
                            <w:pPr>
                              <w:pStyle w:val="Heading4"/>
                              <w:numPr>
                                <w:ilvl w:val="0"/>
                                <w:numId w:val="0"/>
                              </w:numPr>
                              <w:ind w:left="864" w:hanging="864"/>
                              <w:rPr>
                                <w:color w:val="000000"/>
                              </w:rPr>
                            </w:pPr>
                            <w:bookmarkStart w:id="9" w:name="_Toc29674360"/>
                            <w:bookmarkStart w:id="10" w:name="_Toc29673367"/>
                            <w:bookmarkStart w:id="11" w:name="_Toc45810639"/>
                            <w:bookmarkStart w:id="12" w:name="_Toc20318053"/>
                            <w:bookmarkStart w:id="13" w:name="_Toc29673226"/>
                            <w:bookmarkStart w:id="14" w:name="_Toc27299951"/>
                            <w:bookmarkStart w:id="15" w:name="_Toc11352163"/>
                            <w:bookmarkStart w:id="16" w:name="_Toc169793820"/>
                            <w:bookmarkStart w:id="17" w:name="_Toc36645590"/>
                            <w:r>
                              <w:rPr>
                                <w:color w:val="000000"/>
                              </w:rPr>
                              <w:t>6.2.3.1</w:t>
                            </w:r>
                            <w:r>
                              <w:rPr>
                                <w:color w:val="000000"/>
                              </w:rPr>
                              <w:tab/>
                              <w:t>UE PT-RS transmission procedure when transform precoding is not enabled</w:t>
                            </w:r>
                            <w:bookmarkEnd w:id="9"/>
                            <w:bookmarkEnd w:id="10"/>
                            <w:bookmarkEnd w:id="11"/>
                            <w:bookmarkEnd w:id="12"/>
                            <w:bookmarkEnd w:id="13"/>
                            <w:bookmarkEnd w:id="14"/>
                            <w:bookmarkEnd w:id="15"/>
                            <w:bookmarkEnd w:id="16"/>
                            <w:bookmarkEnd w:id="17"/>
                          </w:p>
                          <w:p w14:paraId="2A5C1293" w14:textId="77777777" w:rsidR="004758B6" w:rsidRDefault="00000000">
                            <w:pPr>
                              <w:jc w:val="center"/>
                              <w:rPr>
                                <w:color w:val="FF0000"/>
                              </w:rPr>
                            </w:pPr>
                            <w:r>
                              <w:rPr>
                                <w:color w:val="FF0000"/>
                              </w:rPr>
                              <w:t xml:space="preserve">*** Unrelated </w:t>
                            </w:r>
                            <w:proofErr w:type="gramStart"/>
                            <w:r>
                              <w:rPr>
                                <w:color w:val="FF0000"/>
                              </w:rPr>
                              <w:t>text</w:t>
                            </w:r>
                            <w:proofErr w:type="gramEnd"/>
                            <w:r>
                              <w:rPr>
                                <w:color w:val="FF0000"/>
                              </w:rPr>
                              <w:t xml:space="preserve"> are omitted ***</w:t>
                            </w:r>
                          </w:p>
                          <w:p w14:paraId="29415F68" w14:textId="77777777" w:rsidR="004758B6" w:rsidRDefault="00000000">
                            <w:r>
                              <w:rPr>
                                <w:rFonts w:hint="eastAsia"/>
                              </w:rPr>
                              <w:t>I</w:t>
                            </w:r>
                            <w:r>
                              <w:t>f a UE is scheduled with two codewords,</w:t>
                            </w:r>
                          </w:p>
                          <w:p w14:paraId="4BF5CFA1" w14:textId="77777777" w:rsidR="004758B6" w:rsidRDefault="00000000">
                            <w:pPr>
                              <w:pStyle w:val="B1"/>
                              <w:rPr>
                                <w:rFonts w:eastAsia="Malgun Gothic"/>
                                <w:color w:val="000000"/>
                                <w:lang w:eastAsia="ko-KR"/>
                              </w:rPr>
                            </w:pPr>
                            <w:r>
                              <w:t>-</w:t>
                            </w:r>
                            <w:r>
                              <w:tab/>
                            </w:r>
                            <w:r>
                              <w:rPr>
                                <w:lang w:eastAsia="ko-KR"/>
                              </w:rPr>
                              <w:t xml:space="preserve">if the UE is configured with the higher layer parameter </w:t>
                            </w:r>
                            <w:proofErr w:type="spellStart"/>
                            <w:r>
                              <w:rPr>
                                <w:i/>
                                <w:lang w:eastAsia="ko-KR"/>
                              </w:rPr>
                              <w:t>maxNrofPorts</w:t>
                            </w:r>
                            <w:proofErr w:type="spellEnd"/>
                            <w:r>
                              <w:rPr>
                                <w:lang w:eastAsia="ko-KR"/>
                              </w:rPr>
                              <w:t xml:space="preserve"> in </w:t>
                            </w:r>
                            <w:r>
                              <w:rPr>
                                <w:i/>
                              </w:rPr>
                              <w:t>PTRS-</w:t>
                            </w:r>
                            <w:proofErr w:type="spellStart"/>
                            <w:r>
                              <w:rPr>
                                <w:i/>
                              </w:rPr>
                              <w:t>UplinkConfig</w:t>
                            </w:r>
                            <w:proofErr w:type="spellEnd"/>
                            <w:r>
                              <w:rPr>
                                <w:lang w:eastAsia="ko-KR"/>
                              </w:rPr>
                              <w:t xml:space="preserve"> set to 'n1',</w:t>
                            </w:r>
                            <w:r>
                              <w:t xml:space="preserve"> the PT-RS port is associated with the one of DM-RS ports indicated by DCI field </w:t>
                            </w:r>
                            <w:r>
                              <w:rPr>
                                <w:rFonts w:hint="eastAsia"/>
                                <w:i/>
                                <w:iCs/>
                                <w:lang w:eastAsia="zh-CN"/>
                              </w:rPr>
                              <w:t>PTRS-DMRS association</w:t>
                            </w:r>
                            <w:r>
                              <w:rPr>
                                <w:i/>
                                <w:iCs/>
                                <w:lang w:eastAsia="zh-CN"/>
                              </w:rPr>
                              <w:t xml:space="preserve"> </w:t>
                            </w:r>
                            <w:r>
                              <w:t>for the codeword with the higher MCS. If the MCS indices of the two codewords are the same, the PT-RS antenna port is associated with codeword 0</w:t>
                            </w:r>
                            <w:r>
                              <w:rPr>
                                <w:rFonts w:hint="eastAsia"/>
                              </w:rPr>
                              <w:t>.</w:t>
                            </w:r>
                            <w:r>
                              <w:t xml:space="preserve"> </w:t>
                            </w:r>
                            <w:r>
                              <w:rPr>
                                <w:rFonts w:eastAsia="Malgun Gothic"/>
                                <w:color w:val="000000"/>
                                <w:lang w:eastAsia="ko-KR"/>
                              </w:rPr>
                              <w:t>When a codeword is scheduled to transmit PUSCH for retransmission,</w:t>
                            </w:r>
                            <w:r>
                              <w:rPr>
                                <w:rFonts w:eastAsia="Malgun Gothic"/>
                                <w:color w:val="FF0000"/>
                                <w:lang w:eastAsia="ko-KR"/>
                              </w:rPr>
                              <w:t xml:space="preserve"> </w:t>
                            </w:r>
                            <w:r>
                              <w:rPr>
                                <w:color w:val="FF0000"/>
                              </w:rPr>
                              <w:t xml:space="preserve">if the UE is scheduled with </w:t>
                            </w:r>
                            <w:r>
                              <w:rPr>
                                <w:i/>
                                <w:iCs/>
                                <w:color w:val="FF0000"/>
                              </w:rPr>
                              <w:t>I</w:t>
                            </w:r>
                            <w:r>
                              <w:rPr>
                                <w:i/>
                                <w:iCs/>
                                <w:color w:val="FF0000"/>
                                <w:vertAlign w:val="subscript"/>
                              </w:rPr>
                              <w:t>MCS</w:t>
                            </w:r>
                            <w:r>
                              <w:rPr>
                                <w:color w:val="FF0000"/>
                              </w:rPr>
                              <w:t xml:space="preserve"> &gt; </w:t>
                            </w:r>
                            <w:r>
                              <w:rPr>
                                <w:i/>
                                <w:iCs/>
                                <w:color w:val="FF0000"/>
                              </w:rPr>
                              <w:t>V</w:t>
                            </w:r>
                            <w:r>
                              <w:rPr>
                                <w:color w:val="FF0000"/>
                              </w:rPr>
                              <w:t xml:space="preserve">, where </w:t>
                            </w:r>
                            <w:r>
                              <w:rPr>
                                <w:i/>
                                <w:iCs/>
                                <w:color w:val="FF0000"/>
                              </w:rPr>
                              <w:t>V</w:t>
                            </w:r>
                            <w:r>
                              <w:rPr>
                                <w:color w:val="FF0000"/>
                              </w:rPr>
                              <w:t xml:space="preserve"> = 28 for MCS Table 5.1.3.1-1 and MCS Table 5.1.3.1-3 and </w:t>
                            </w:r>
                            <w:r>
                              <w:rPr>
                                <w:i/>
                                <w:iCs/>
                                <w:color w:val="FF0000"/>
                              </w:rPr>
                              <w:t>V</w:t>
                            </w:r>
                            <w:r>
                              <w:rPr>
                                <w:color w:val="FF0000"/>
                              </w:rPr>
                              <w:t xml:space="preserve"> = 27 for MCS Table 5.1.3.1-2, respectively,</w:t>
                            </w:r>
                            <w:r>
                              <w:t xml:space="preserve"> </w:t>
                            </w:r>
                            <w:r>
                              <w:rPr>
                                <w:rFonts w:eastAsia="Malgun Gothic"/>
                                <w:color w:val="000000"/>
                                <w:lang w:eastAsia="ko-KR"/>
                              </w:rPr>
                              <w:t>the MCS for determining PT-RS association to codeword is obtained from the DCI for the same transport block in the initial transmission.</w:t>
                            </w:r>
                          </w:p>
                          <w:p w14:paraId="302B2BD4" w14:textId="77777777" w:rsidR="004758B6" w:rsidRDefault="00000000">
                            <w:pPr>
                              <w:jc w:val="center"/>
                              <w:rPr>
                                <w:color w:val="FF0000"/>
                              </w:rPr>
                            </w:pPr>
                            <w:r>
                              <w:rPr>
                                <w:color w:val="FF0000"/>
                              </w:rPr>
                              <w:t xml:space="preserve">*** Unrelated </w:t>
                            </w:r>
                            <w:proofErr w:type="gramStart"/>
                            <w:r>
                              <w:rPr>
                                <w:color w:val="FF0000"/>
                              </w:rPr>
                              <w:t>text</w:t>
                            </w:r>
                            <w:proofErr w:type="gramEnd"/>
                            <w:r>
                              <w:rPr>
                                <w:color w:val="FF0000"/>
                              </w:rPr>
                              <w:t xml:space="preserve"> are omitted ***</w:t>
                            </w:r>
                          </w:p>
                          <w:p w14:paraId="033D43C7" w14:textId="77777777" w:rsidR="004758B6" w:rsidRDefault="004758B6"/>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Text Box 2" o:spid="_x0000_s1026" o:spt="202" type="#_x0000_t202" style="position:absolute;left:0pt;margin-top:1.1pt;height:181.5pt;width:496pt;mso-position-horizontal:left;mso-position-horizontal-relative:margin;mso-wrap-distance-bottom:3.6pt;mso-wrap-distance-left:9pt;mso-wrap-distance-right:9pt;mso-wrap-distance-top:3.6pt;z-index:251666432;mso-width-relative:page;mso-height-relative:page;" fillcolor="#FFFFFF" filled="t" stroked="t" coordsize="21600,21600" o:gfxdata="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sMIWGdYAAAAGAQAADwAAAAAAAAABACAAAAAiAAAAZHJzL2Rvd25yZXYueG1sUEsB&#10;AhQAFAAAAAgAh07iQNbuB88wAgAAgwQAAA4AAAAAAAAAAQAgAAAAJQEAAGRycy9lMm9Eb2MueG1s&#10;UEsFBgAAAAAGAAYAWQEAAMcFAAAAAA==&#10;">
                <v:fill on="t" focussize="0,0"/>
                <v:stroke color="#000000" miterlimit="8" joinstyle="miter"/>
                <v:imagedata o:title=""/>
                <o:lock v:ext="edit" aspectratio="f"/>
                <v:textbox>
                  <w:txbxContent>
                    <w:p>
                      <w:pPr>
                        <w:pStyle w:val="5"/>
                        <w:numPr>
                          <w:ilvl w:val="0"/>
                          <w:numId w:val="0"/>
                        </w:numPr>
                        <w:ind w:left="864" w:hanging="864"/>
                        <w:rPr>
                          <w:color w:val="000000"/>
                        </w:rPr>
                      </w:pPr>
                      <w:bookmarkStart w:id="24" w:name="_Toc29674360"/>
                      <w:bookmarkStart w:id="25" w:name="_Toc29673367"/>
                      <w:bookmarkStart w:id="26" w:name="_Toc45810639"/>
                      <w:bookmarkStart w:id="27" w:name="_Toc20318053"/>
                      <w:bookmarkStart w:id="28" w:name="_Toc29673226"/>
                      <w:bookmarkStart w:id="29" w:name="_Toc27299951"/>
                      <w:bookmarkStart w:id="30" w:name="_Toc11352163"/>
                      <w:bookmarkStart w:id="31" w:name="_Toc169793820"/>
                      <w:bookmarkStart w:id="32" w:name="_Toc36645590"/>
                      <w:r>
                        <w:rPr>
                          <w:color w:val="000000"/>
                        </w:rPr>
                        <w:t>6.2.3.1</w:t>
                      </w:r>
                      <w:r>
                        <w:rPr>
                          <w:color w:val="000000"/>
                        </w:rPr>
                        <w:tab/>
                      </w:r>
                      <w:r>
                        <w:rPr>
                          <w:color w:val="000000"/>
                        </w:rPr>
                        <w:t>UE PT-RS transmission procedure when transform precoding is not enabled</w:t>
                      </w:r>
                      <w:bookmarkEnd w:id="24"/>
                      <w:bookmarkEnd w:id="25"/>
                      <w:bookmarkEnd w:id="26"/>
                      <w:bookmarkEnd w:id="27"/>
                      <w:bookmarkEnd w:id="28"/>
                      <w:bookmarkEnd w:id="29"/>
                      <w:bookmarkEnd w:id="30"/>
                      <w:bookmarkEnd w:id="31"/>
                      <w:bookmarkEnd w:id="32"/>
                    </w:p>
                    <w:p>
                      <w:pPr>
                        <w:jc w:val="center"/>
                        <w:rPr>
                          <w:color w:val="FF0000"/>
                        </w:rPr>
                      </w:pPr>
                      <w:r>
                        <w:rPr>
                          <w:color w:val="FF0000"/>
                        </w:rPr>
                        <w:t>*** Unrelated text are omitted ***</w:t>
                      </w:r>
                    </w:p>
                    <w:p>
                      <w:r>
                        <w:rPr>
                          <w:rFonts w:hint="eastAsia"/>
                        </w:rPr>
                        <w:t>I</w:t>
                      </w:r>
                      <w:r>
                        <w:t>f a UE is scheduled with two codewords,</w:t>
                      </w:r>
                    </w:p>
                    <w:p>
                      <w:pPr>
                        <w:pStyle w:val="84"/>
                        <w:rPr>
                          <w:rFonts w:eastAsia="Malgun Gothic"/>
                          <w:color w:val="000000"/>
                          <w:lang w:eastAsia="ko-KR"/>
                        </w:rPr>
                      </w:pPr>
                      <w:r>
                        <w:t>-</w:t>
                      </w:r>
                      <w:r>
                        <w:tab/>
                      </w:r>
                      <w:r>
                        <w:rPr>
                          <w:lang w:eastAsia="ko-KR"/>
                        </w:rPr>
                        <w:t xml:space="preserve">if the UE is configured with the higher layer parameter </w:t>
                      </w:r>
                      <w:r>
                        <w:rPr>
                          <w:i/>
                          <w:lang w:eastAsia="ko-KR"/>
                        </w:rPr>
                        <w:t>maxNrofPorts</w:t>
                      </w:r>
                      <w:r>
                        <w:rPr>
                          <w:lang w:eastAsia="ko-KR"/>
                        </w:rPr>
                        <w:t xml:space="preserve"> in </w:t>
                      </w:r>
                      <w:r>
                        <w:rPr>
                          <w:i/>
                        </w:rPr>
                        <w:t>PTRS-UplinkConfig</w:t>
                      </w:r>
                      <w:r>
                        <w:rPr>
                          <w:lang w:eastAsia="ko-KR"/>
                        </w:rPr>
                        <w:t xml:space="preserve"> set to 'n1',</w:t>
                      </w:r>
                      <w:r>
                        <w:t xml:space="preserve"> the PT-RS port is associated with the one of DM-RS ports indicated by DCI field </w:t>
                      </w:r>
                      <w:r>
                        <w:rPr>
                          <w:rFonts w:hint="eastAsia"/>
                          <w:i/>
                          <w:iCs/>
                          <w:lang w:eastAsia="zh-CN"/>
                        </w:rPr>
                        <w:t>PTRS-DMRS association</w:t>
                      </w:r>
                      <w:r>
                        <w:rPr>
                          <w:i/>
                          <w:iCs/>
                          <w:lang w:eastAsia="zh-CN"/>
                        </w:rPr>
                        <w:t xml:space="preserve"> </w:t>
                      </w:r>
                      <w:r>
                        <w:t>for the codeword with the higher MCS. If the MCS indices of the two codewords are the same, the PT-RS antenna port is associated with codeword 0</w:t>
                      </w:r>
                      <w:r>
                        <w:rPr>
                          <w:rFonts w:hint="eastAsia"/>
                        </w:rPr>
                        <w:t>.</w:t>
                      </w:r>
                      <w:r>
                        <w:t xml:space="preserve"> </w:t>
                      </w:r>
                      <w:r>
                        <w:rPr>
                          <w:rFonts w:eastAsia="Malgun Gothic"/>
                          <w:color w:val="000000"/>
                          <w:lang w:eastAsia="ko-KR"/>
                        </w:rPr>
                        <w:t>When a codeword is scheduled to transmit PUSCH for retransmission,</w:t>
                      </w:r>
                      <w:r>
                        <w:rPr>
                          <w:rFonts w:eastAsia="Malgun Gothic"/>
                          <w:color w:val="FF0000"/>
                          <w:lang w:eastAsia="ko-KR"/>
                        </w:rPr>
                        <w:t xml:space="preserve"> </w:t>
                      </w:r>
                      <w:r>
                        <w:rPr>
                          <w:color w:val="FF0000"/>
                        </w:rPr>
                        <w:t xml:space="preserve">if the UE is scheduled with </w:t>
                      </w:r>
                      <w:r>
                        <w:rPr>
                          <w:i/>
                          <w:iCs/>
                          <w:color w:val="FF0000"/>
                        </w:rPr>
                        <w:t>I</w:t>
                      </w:r>
                      <w:r>
                        <w:rPr>
                          <w:i/>
                          <w:iCs/>
                          <w:color w:val="FF0000"/>
                          <w:vertAlign w:val="subscript"/>
                        </w:rPr>
                        <w:t>MCS</w:t>
                      </w:r>
                      <w:r>
                        <w:rPr>
                          <w:color w:val="FF0000"/>
                        </w:rPr>
                        <w:t xml:space="preserve"> &gt; </w:t>
                      </w:r>
                      <w:r>
                        <w:rPr>
                          <w:i/>
                          <w:iCs/>
                          <w:color w:val="FF0000"/>
                        </w:rPr>
                        <w:t>V</w:t>
                      </w:r>
                      <w:r>
                        <w:rPr>
                          <w:color w:val="FF0000"/>
                        </w:rPr>
                        <w:t xml:space="preserve">, where </w:t>
                      </w:r>
                      <w:r>
                        <w:rPr>
                          <w:i/>
                          <w:iCs/>
                          <w:color w:val="FF0000"/>
                        </w:rPr>
                        <w:t>V</w:t>
                      </w:r>
                      <w:r>
                        <w:rPr>
                          <w:color w:val="FF0000"/>
                        </w:rPr>
                        <w:t xml:space="preserve"> = 28 for MCS Table 5.1.3.1-1 and MCS Table 5.1.3.1-3 and </w:t>
                      </w:r>
                      <w:r>
                        <w:rPr>
                          <w:i/>
                          <w:iCs/>
                          <w:color w:val="FF0000"/>
                        </w:rPr>
                        <w:t>V</w:t>
                      </w:r>
                      <w:r>
                        <w:rPr>
                          <w:color w:val="FF0000"/>
                        </w:rPr>
                        <w:t xml:space="preserve"> = 27 for MCS Table 5.1.3.1-2, respectively,</w:t>
                      </w:r>
                      <w:r>
                        <w:t xml:space="preserve"> </w:t>
                      </w:r>
                      <w:r>
                        <w:rPr>
                          <w:rFonts w:eastAsia="Malgun Gothic"/>
                          <w:color w:val="000000"/>
                          <w:lang w:eastAsia="ko-KR"/>
                        </w:rPr>
                        <w:t>the MCS for determining PT-RS association to codeword is obtained from the DCI for the same transport block in the initial transmission.</w:t>
                      </w:r>
                    </w:p>
                    <w:p>
                      <w:pPr>
                        <w:jc w:val="center"/>
                        <w:rPr>
                          <w:color w:val="FF0000"/>
                        </w:rPr>
                      </w:pPr>
                      <w:r>
                        <w:rPr>
                          <w:color w:val="FF0000"/>
                        </w:rPr>
                        <w:t>*** Unrelated text are omitted ***</w:t>
                      </w:r>
                    </w:p>
                    <w:p/>
                  </w:txbxContent>
                </v:textbox>
                <w10:wrap type="square"/>
              </v:shape>
            </w:pict>
          </mc:Fallback>
        </mc:AlternateContent>
      </w:r>
      <w:r>
        <w:t xml:space="preserve"> </w:t>
      </w:r>
    </w:p>
    <w:p w14:paraId="0C99A785" w14:textId="77777777" w:rsidR="004758B6" w:rsidRDefault="00000000">
      <w:pPr>
        <w:pStyle w:val="Heading1"/>
      </w:pPr>
      <w:bookmarkStart w:id="18" w:name="_Ref173602538"/>
      <w:r>
        <w:t>PTRS to CW association for PDSCH retransmission</w:t>
      </w:r>
      <w:bookmarkEnd w:id="18"/>
    </w:p>
    <w:p w14:paraId="7DBC4CA4" w14:textId="77777777" w:rsidR="004758B6" w:rsidRDefault="00000000">
      <w:bookmarkStart w:id="19" w:name="_Ref102041626"/>
      <w:r>
        <w:t xml:space="preserve">It is identified that the rule to decide PTRS to CW association is different between PDSCH and PUSCH, in case of retransmission. </w:t>
      </w:r>
    </w:p>
    <w:p w14:paraId="3BD519AD" w14:textId="77777777" w:rsidR="004758B6" w:rsidRDefault="00000000">
      <w:pPr>
        <w:rPr>
          <w:sz w:val="22"/>
          <w:szCs w:val="22"/>
          <w:lang w:eastAsia="zh-CN"/>
        </w:rPr>
      </w:pPr>
      <w:r>
        <w:rPr>
          <w:noProof/>
        </w:rPr>
        <mc:AlternateContent>
          <mc:Choice Requires="wps">
            <w:drawing>
              <wp:anchor distT="45720" distB="45720" distL="114300" distR="114300" simplePos="0" relativeHeight="251659264" behindDoc="0" locked="0" layoutInCell="1" allowOverlap="1" wp14:anchorId="4C24A79C" wp14:editId="353EE357">
                <wp:simplePos x="0" y="0"/>
                <wp:positionH relativeFrom="margin">
                  <wp:align>right</wp:align>
                </wp:positionH>
                <wp:positionV relativeFrom="paragraph">
                  <wp:posOffset>358140</wp:posOffset>
                </wp:positionV>
                <wp:extent cx="6299200" cy="704850"/>
                <wp:effectExtent l="0" t="0" r="2540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704850"/>
                        </a:xfrm>
                        <a:prstGeom prst="rect">
                          <a:avLst/>
                        </a:prstGeom>
                        <a:solidFill>
                          <a:srgbClr val="FFFFFF"/>
                        </a:solidFill>
                        <a:ln w="9525">
                          <a:solidFill>
                            <a:srgbClr val="000000"/>
                          </a:solidFill>
                          <a:miter lim="800000"/>
                        </a:ln>
                      </wps:spPr>
                      <wps:txbx>
                        <w:txbxContent>
                          <w:p w14:paraId="0CB47A31" w14:textId="77777777" w:rsidR="004758B6" w:rsidRDefault="00000000">
                            <w:r>
                              <w:rPr>
                                <w:rFonts w:hint="eastAsia"/>
                              </w:rPr>
                              <w:t>I</w:t>
                            </w:r>
                            <w:r>
                              <w:t>f a UE is scheduled with two codewords, the PT-RS antenna port is associated with the lowe</w:t>
                            </w:r>
                            <w:r>
                              <w:rPr>
                                <w:rFonts w:hint="eastAsia"/>
                              </w:rPr>
                              <w:t>st</w:t>
                            </w:r>
                            <w:r>
                              <w:t xml:space="preserve"> indexed DM-RS antenna port among the DM-RS antenna ports assigned for the codeword with the higher MCS. If the MCS indices of the two codewords are the same, the PT-RS antenna port is associated with the lowest indexed DM-RS antenna port assigned for codeword 0</w:t>
                            </w:r>
                            <w:r>
                              <w:rPr>
                                <w:rFonts w:hint="eastAsia"/>
                              </w:rPr>
                              <w:t>.</w:t>
                            </w:r>
                          </w:p>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Text Box 2" o:spid="_x0000_s1026" o:spt="202" type="#_x0000_t202" style="position:absolute;left:0pt;margin-top:28.2pt;height:55.5pt;width:496pt;mso-position-horizontal:right;mso-position-horizontal-relative:margin;mso-wrap-distance-bottom:3.6pt;mso-wrap-distance-left:9pt;mso-wrap-distance-right:9pt;mso-wrap-distance-top:3.6pt;z-index:251659264;mso-width-relative:page;mso-height-relative:page;" fillcolor="#FFFFFF" filled="t" stroked="t" coordsize="21600,21600" o:gfxdata="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4B9KT1wAAAAcBAAAPAAAAAAAAAAEAIAAAACIAAABkcnMvZG93bnJldi54bWxQSwECFAAU&#10;AAAACACHTuJARR+v6CsCAAB8BAAADgAAAAAAAAABACAAAAAmAQAAZHJzL2Uyb0RvYy54bWxQSwUG&#10;AAAAAAYABgBZAQAAwwUAAAAA&#10;">
                <v:fill on="t" focussize="0,0"/>
                <v:stroke color="#000000" miterlimit="8" joinstyle="miter"/>
                <v:imagedata o:title=""/>
                <o:lock v:ext="edit" aspectratio="f"/>
                <v:textbox>
                  <w:txbxContent>
                    <w:p>
                      <w:r>
                        <w:rPr>
                          <w:rFonts w:hint="eastAsia"/>
                        </w:rPr>
                        <w:t>I</w:t>
                      </w:r>
                      <w:r>
                        <w:t>f a UE is scheduled with two codewords, the PT-RS antenna port is associated with the lowe</w:t>
                      </w:r>
                      <w:r>
                        <w:rPr>
                          <w:rFonts w:hint="eastAsia"/>
                        </w:rPr>
                        <w:t>st</w:t>
                      </w:r>
                      <w:r>
                        <w:t xml:space="preserve"> indexed DM-RS antenna port among the DM-RS antenna ports assigned for the codeword with the higher MCS. If the MCS indices of the two codewords are the same, the PT-RS antenna port is associated with the lowest indexed DM-RS antenna port assigned for codeword 0</w:t>
                      </w:r>
                      <w:r>
                        <w:rPr>
                          <w:rFonts w:hint="eastAsia"/>
                        </w:rPr>
                        <w:t>.</w:t>
                      </w:r>
                    </w:p>
                  </w:txbxContent>
                </v:textbox>
                <w10:wrap type="square"/>
              </v:shape>
            </w:pict>
          </mc:Fallback>
        </mc:AlternateContent>
      </w:r>
      <w:r>
        <w:t xml:space="preserve">The following is the specification for DL. With that, regardless the PDSCH is first transmission or retransmission, PTRS is always associated with the CW with higher MCS (even it is a reserved MCS such as 31). </w:t>
      </w:r>
    </w:p>
    <w:p w14:paraId="7946E37A" w14:textId="77777777" w:rsidR="004758B6" w:rsidRDefault="00000000">
      <w:r>
        <w:rPr>
          <w:noProof/>
        </w:rPr>
        <mc:AlternateContent>
          <mc:Choice Requires="wps">
            <w:drawing>
              <wp:anchor distT="45720" distB="45720" distL="114300" distR="114300" simplePos="0" relativeHeight="251660288" behindDoc="0" locked="0" layoutInCell="1" allowOverlap="1" wp14:anchorId="48A44803" wp14:editId="616B78E6">
                <wp:simplePos x="0" y="0"/>
                <wp:positionH relativeFrom="margin">
                  <wp:align>right</wp:align>
                </wp:positionH>
                <wp:positionV relativeFrom="paragraph">
                  <wp:posOffset>1135380</wp:posOffset>
                </wp:positionV>
                <wp:extent cx="6318250" cy="1117600"/>
                <wp:effectExtent l="0" t="0" r="25400" b="25400"/>
                <wp:wrapSquare wrapText="bothSides"/>
                <wp:docPr id="16693236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1117600"/>
                        </a:xfrm>
                        <a:prstGeom prst="rect">
                          <a:avLst/>
                        </a:prstGeom>
                        <a:solidFill>
                          <a:srgbClr val="FFFFFF"/>
                        </a:solidFill>
                        <a:ln w="9525">
                          <a:solidFill>
                            <a:srgbClr val="000000"/>
                          </a:solidFill>
                          <a:miter lim="800000"/>
                        </a:ln>
                      </wps:spPr>
                      <wps:txbx>
                        <w:txbxContent>
                          <w:p w14:paraId="292BD9F1" w14:textId="77777777" w:rsidR="004758B6" w:rsidRDefault="00000000">
                            <w:r>
                              <w:t>If a UE is scheduled with two codewords,</w:t>
                            </w:r>
                          </w:p>
                          <w:p w14:paraId="1254AECC" w14:textId="77777777" w:rsidR="004758B6" w:rsidRDefault="00000000">
                            <w:r>
                              <w:t xml:space="preserve">-    if the UE is configured with the higher layer parameter </w:t>
                            </w:r>
                            <w:proofErr w:type="spellStart"/>
                            <w:r>
                              <w:rPr>
                                <w:i/>
                                <w:iCs/>
                              </w:rPr>
                              <w:t>maxNrofPorts</w:t>
                            </w:r>
                            <w:proofErr w:type="spellEnd"/>
                            <w:r>
                              <w:t xml:space="preserve"> in </w:t>
                            </w:r>
                            <w:r>
                              <w:rPr>
                                <w:i/>
                                <w:iCs/>
                              </w:rPr>
                              <w:t>PTRS-</w:t>
                            </w:r>
                            <w:proofErr w:type="spellStart"/>
                            <w:r>
                              <w:rPr>
                                <w:i/>
                                <w:iCs/>
                              </w:rPr>
                              <w:t>UplinkConfig</w:t>
                            </w:r>
                            <w:proofErr w:type="spellEnd"/>
                            <w:r>
                              <w:t xml:space="preserve"> set to 'n1', the PT-RS port is associated with the one of DM-RS ports indicated by DCI field </w:t>
                            </w:r>
                            <w:r>
                              <w:rPr>
                                <w:i/>
                                <w:iCs/>
                              </w:rPr>
                              <w:t>PTRS-DMRS association </w:t>
                            </w:r>
                            <w:r>
                              <w:t>for the codeword with the higher MCS. If the MCS indices of the two codewords are the same, the PT-RS antenna port is associated with codeword 0. When a codeword is scheduled to transmit PUSCH for retransmission, the MCS for determining PT-RS association to codeword is obtained from the DCI for the same transport block in the initial transmission.</w:t>
                            </w:r>
                          </w:p>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Text Box 2" o:spid="_x0000_s1026" o:spt="202" type="#_x0000_t202" style="position:absolute;left:0pt;margin-top:89.4pt;height:88pt;width:497.5pt;mso-position-horizontal:right;mso-position-horizontal-relative:margin;mso-wrap-distance-bottom:3.6pt;mso-wrap-distance-left:9pt;mso-wrap-distance-right:9pt;mso-wrap-distance-top:3.6pt;z-index:251660288;mso-width-relative:page;mso-height-relative:page;" fillcolor="#FFFFFF" filled="t" stroked="t" coordsize="21600,21600" o:gfxdata="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JInNCfXAAAACAEAAA8AAAAAAAAAAQAgAAAAIgAAAGRycy9kb3ducmV2Lnht&#10;bFBLAQIUABQAAAAIAIdO4kCq7Kk1MwIAAIQEAAAOAAAAAAAAAAEAIAAAACYBAABkcnMvZTJvRG9j&#10;LnhtbFBLBQYAAAAABgAGAFkBAADLBQAAAAA=&#10;">
                <v:fill on="t" focussize="0,0"/>
                <v:stroke color="#000000" miterlimit="8" joinstyle="miter"/>
                <v:imagedata o:title=""/>
                <o:lock v:ext="edit" aspectratio="f"/>
                <v:textbox>
                  <w:txbxContent>
                    <w:p>
                      <w:r>
                        <w:t>If a UE is scheduled with two codewords,</w:t>
                      </w:r>
                    </w:p>
                    <w:p>
                      <w:r>
                        <w:t xml:space="preserve">-    if the UE is configured with the higher layer parameter </w:t>
                      </w:r>
                      <w:r>
                        <w:rPr>
                          <w:i/>
                          <w:iCs/>
                        </w:rPr>
                        <w:t>maxNrofPorts</w:t>
                      </w:r>
                      <w:r>
                        <w:t xml:space="preserve"> in </w:t>
                      </w:r>
                      <w:r>
                        <w:rPr>
                          <w:i/>
                          <w:iCs/>
                        </w:rPr>
                        <w:t>PTRS-UplinkConfig</w:t>
                      </w:r>
                      <w:r>
                        <w:t xml:space="preserve"> set to 'n1', the PT-RS port is associated with the one of DM-RS ports indicated by DCI field </w:t>
                      </w:r>
                      <w:r>
                        <w:rPr>
                          <w:i/>
                          <w:iCs/>
                        </w:rPr>
                        <w:t>PTRS-DMRS association </w:t>
                      </w:r>
                      <w:r>
                        <w:t>for the codeword with the higher MCS. If the MCS indices of the two codewords are the same, the PT-RS antenna port is associated with codeword 0. When a codeword is scheduled to transmit PUSCH for retransmission, the MCS for determining PT-RS association to codeword is obtained from the DCI for the same transport block in the initial transmission.</w:t>
                      </w:r>
                    </w:p>
                  </w:txbxContent>
                </v:textbox>
                <w10:wrap type="square"/>
              </v:shape>
            </w:pict>
          </mc:Fallback>
        </mc:AlternateContent>
      </w:r>
      <w:r>
        <w:t xml:space="preserve"> However, for UL, for PUSCH retransmission, as the following specified, initial MCS is used to determine PTRS to CW association, in case the PUSCH retransmission is with 2 CWs. </w:t>
      </w:r>
    </w:p>
    <w:p w14:paraId="2F91B329" w14:textId="77777777" w:rsidR="004758B6" w:rsidRDefault="00000000">
      <w:r>
        <w:t xml:space="preserve">From technical point of view, PTRS should associate with a CW with high spectrum efficiency (thus higher SNR). Therefore, using initial MCS to determine PTRS to CW association for retransmission make more sense. It is better if RAN1 can align the PTRS to CW association rule between DL and UL by adopting a CR for DL to use initial MCS as well.  </w:t>
      </w:r>
    </w:p>
    <w:p w14:paraId="0392FED8" w14:textId="77777777" w:rsidR="004758B6" w:rsidRDefault="00000000">
      <w:r>
        <w:t xml:space="preserve">However, we also acknowledge that the specification for DL was there since Rel-15 (although the case of retransmission was not specifically discussed in Rel-15 standardization). Keeping the specification as it is for DL can still work, i.e., just associate PTRS to the CW with higher MCS index (even the MCS is reserved MCS). </w:t>
      </w:r>
    </w:p>
    <w:p w14:paraId="39475ADE" w14:textId="77777777" w:rsidR="004758B6" w:rsidRDefault="00000000">
      <w:r>
        <w:lastRenderedPageBreak/>
        <w:t xml:space="preserve">With the above, we list two alternatively for RAN1 to clarify this issue. Between the two alternatives, we slightly prefer alternative 2. </w:t>
      </w:r>
    </w:p>
    <w:p w14:paraId="0175CB8C" w14:textId="77777777" w:rsidR="004758B6" w:rsidRDefault="00000000">
      <w:pPr>
        <w:numPr>
          <w:ilvl w:val="0"/>
          <w:numId w:val="11"/>
        </w:numPr>
      </w:pPr>
      <w:r>
        <w:t xml:space="preserve">Alternative 1: RAN1 accept the discrepancy between downlink and uplink for PTRS to CW association for PUSCH/PDSCH retransmission with 2 CWs, by keeping the specification as it is. </w:t>
      </w:r>
    </w:p>
    <w:p w14:paraId="1F0E659F" w14:textId="77777777" w:rsidR="004758B6" w:rsidRDefault="00000000">
      <w:pPr>
        <w:numPr>
          <w:ilvl w:val="0"/>
          <w:numId w:val="11"/>
        </w:numPr>
      </w:pPr>
      <w:r>
        <w:t xml:space="preserve">Alternative 2, RAN1 update the specification for PTRS to CW association for PDSCH retransmission with 2 CWs, to align the specification between downlink and uplink. </w:t>
      </w:r>
    </w:p>
    <w:p w14:paraId="065D3B3D" w14:textId="77777777" w:rsidR="004758B6" w:rsidRDefault="00000000">
      <w:r>
        <w:rPr>
          <w:rFonts w:eastAsia="Microsoft YaHei"/>
          <w:b/>
          <w:bCs/>
          <w:color w:val="000000"/>
          <w:u w:val="single"/>
        </w:rPr>
        <w:t>Proposal 3</w:t>
      </w:r>
      <w:r>
        <w:rPr>
          <w:rFonts w:eastAsia="Microsoft YaHei"/>
          <w:b/>
          <w:bCs/>
          <w:color w:val="000000"/>
        </w:rPr>
        <w:t xml:space="preserve">: RAN1 </w:t>
      </w:r>
      <w:proofErr w:type="gramStart"/>
      <w:r>
        <w:rPr>
          <w:rFonts w:eastAsia="Microsoft YaHei"/>
          <w:b/>
          <w:bCs/>
          <w:color w:val="000000"/>
        </w:rPr>
        <w:t>down-select</w:t>
      </w:r>
      <w:proofErr w:type="gramEnd"/>
      <w:r>
        <w:rPr>
          <w:rFonts w:eastAsia="Microsoft YaHei"/>
          <w:b/>
          <w:bCs/>
          <w:color w:val="000000"/>
        </w:rPr>
        <w:t xml:space="preserve"> one of the following two alternatives to resolve the discrepancy between downlink and uplink for PTRS to CW association for PUSCH/PDSCH retransmission with 2 CWs</w:t>
      </w:r>
    </w:p>
    <w:p w14:paraId="41B65429" w14:textId="77777777" w:rsidR="004758B6" w:rsidRDefault="00000000">
      <w:pPr>
        <w:numPr>
          <w:ilvl w:val="0"/>
          <w:numId w:val="11"/>
        </w:numPr>
        <w:rPr>
          <w:b/>
          <w:bCs/>
        </w:rPr>
      </w:pPr>
      <w:r>
        <w:rPr>
          <w:b/>
          <w:bCs/>
        </w:rPr>
        <w:t xml:space="preserve">Alternative 1: RAN1 accept the discrepancy between downlink and uplink for PTRS to CW association for PUSCH/PDSCH retransmission with 2 CWs, by keeping the specification as it is. </w:t>
      </w:r>
    </w:p>
    <w:p w14:paraId="0AC7858C" w14:textId="77777777" w:rsidR="004758B6" w:rsidRDefault="00000000">
      <w:pPr>
        <w:numPr>
          <w:ilvl w:val="0"/>
          <w:numId w:val="11"/>
        </w:numPr>
        <w:rPr>
          <w:b/>
          <w:bCs/>
        </w:rPr>
      </w:pPr>
      <w:r>
        <w:rPr>
          <w:b/>
          <w:bCs/>
        </w:rPr>
        <w:t xml:space="preserve">Alternative 2, RAN1 update the specification for PTRS to CW association for PDSCH retransmission with 2 CWs, to align the specification between downlink and uplink. </w:t>
      </w:r>
    </w:p>
    <w:p w14:paraId="235B0329" w14:textId="77777777" w:rsidR="004758B6" w:rsidRDefault="00000000">
      <w:r>
        <w:t xml:space="preserve">If alternative 2 is agreed in RAN1, the following is proposed as a TP. </w:t>
      </w:r>
    </w:p>
    <w:p w14:paraId="7594F151" w14:textId="77777777" w:rsidR="004758B6" w:rsidRDefault="00000000">
      <w:pPr>
        <w:rPr>
          <w:b/>
          <w:bCs/>
        </w:rPr>
      </w:pPr>
      <w:r>
        <w:rPr>
          <w:noProof/>
        </w:rPr>
        <mc:AlternateContent>
          <mc:Choice Requires="wps">
            <w:drawing>
              <wp:anchor distT="45720" distB="45720" distL="114300" distR="114300" simplePos="0" relativeHeight="251661312" behindDoc="0" locked="0" layoutInCell="1" allowOverlap="1" wp14:anchorId="7309F947" wp14:editId="60ACFDF2">
                <wp:simplePos x="0" y="0"/>
                <wp:positionH relativeFrom="margin">
                  <wp:align>left</wp:align>
                </wp:positionH>
                <wp:positionV relativeFrom="paragraph">
                  <wp:posOffset>310515</wp:posOffset>
                </wp:positionV>
                <wp:extent cx="6299200" cy="2051050"/>
                <wp:effectExtent l="0" t="0" r="25400" b="25400"/>
                <wp:wrapSquare wrapText="bothSides"/>
                <wp:docPr id="20738331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2051050"/>
                        </a:xfrm>
                        <a:prstGeom prst="rect">
                          <a:avLst/>
                        </a:prstGeom>
                        <a:solidFill>
                          <a:srgbClr val="FFFFFF"/>
                        </a:solidFill>
                        <a:ln w="9525">
                          <a:solidFill>
                            <a:srgbClr val="000000"/>
                          </a:solidFill>
                          <a:miter lim="800000"/>
                        </a:ln>
                      </wps:spPr>
                      <wps:txbx>
                        <w:txbxContent>
                          <w:p w14:paraId="24B7F0E0" w14:textId="77777777" w:rsidR="004758B6" w:rsidRDefault="00000000">
                            <w:pPr>
                              <w:pStyle w:val="Heading4"/>
                              <w:numPr>
                                <w:ilvl w:val="0"/>
                                <w:numId w:val="0"/>
                              </w:numPr>
                              <w:ind w:left="864" w:hanging="864"/>
                              <w:rPr>
                                <w:color w:val="000000"/>
                              </w:rPr>
                            </w:pPr>
                            <w:bookmarkStart w:id="20" w:name="_Toc11352103"/>
                            <w:bookmarkStart w:id="21" w:name="_Toc169793723"/>
                            <w:bookmarkStart w:id="22" w:name="_Toc45810565"/>
                            <w:bookmarkStart w:id="23" w:name="_Toc27299891"/>
                            <w:bookmarkStart w:id="24" w:name="_Toc29673156"/>
                            <w:bookmarkStart w:id="25" w:name="_Toc36645520"/>
                            <w:bookmarkStart w:id="26" w:name="_Toc29674290"/>
                            <w:bookmarkStart w:id="27" w:name="_Toc20317993"/>
                            <w:bookmarkStart w:id="28" w:name="_Toc29673297"/>
                            <w:r>
                              <w:rPr>
                                <w:color w:val="000000"/>
                              </w:rPr>
                              <w:t>5.1.6.3</w:t>
                            </w:r>
                            <w:r>
                              <w:rPr>
                                <w:color w:val="000000"/>
                              </w:rPr>
                              <w:tab/>
                              <w:t>PT-RS reception procedure</w:t>
                            </w:r>
                            <w:bookmarkEnd w:id="20"/>
                            <w:bookmarkEnd w:id="21"/>
                            <w:bookmarkEnd w:id="22"/>
                            <w:bookmarkEnd w:id="23"/>
                            <w:bookmarkEnd w:id="24"/>
                            <w:bookmarkEnd w:id="25"/>
                            <w:bookmarkEnd w:id="26"/>
                            <w:bookmarkEnd w:id="27"/>
                            <w:bookmarkEnd w:id="28"/>
                          </w:p>
                          <w:p w14:paraId="3FA095E5" w14:textId="77777777" w:rsidR="004758B6" w:rsidRDefault="00000000">
                            <w:pPr>
                              <w:jc w:val="center"/>
                              <w:rPr>
                                <w:color w:val="FF0000"/>
                              </w:rPr>
                            </w:pPr>
                            <w:r>
                              <w:rPr>
                                <w:color w:val="FF0000"/>
                              </w:rPr>
                              <w:t xml:space="preserve">*** Unrelated </w:t>
                            </w:r>
                            <w:proofErr w:type="gramStart"/>
                            <w:r>
                              <w:rPr>
                                <w:color w:val="FF0000"/>
                              </w:rPr>
                              <w:t>text</w:t>
                            </w:r>
                            <w:proofErr w:type="gramEnd"/>
                            <w:r>
                              <w:rPr>
                                <w:color w:val="FF0000"/>
                              </w:rPr>
                              <w:t xml:space="preserve"> are omitted ***</w:t>
                            </w:r>
                          </w:p>
                          <w:p w14:paraId="0EA347D6" w14:textId="77777777" w:rsidR="004758B6" w:rsidRDefault="00000000">
                            <w:pPr>
                              <w:rPr>
                                <w:color w:val="FF0000"/>
                              </w:rPr>
                            </w:pPr>
                            <w:r>
                              <w:rPr>
                                <w:rFonts w:hint="eastAsia"/>
                              </w:rPr>
                              <w:t>I</w:t>
                            </w:r>
                            <w:r>
                              <w:t>f a UE is scheduled with two codewords, the PT-RS antenna port is associated with the lowe</w:t>
                            </w:r>
                            <w:r>
                              <w:rPr>
                                <w:rFonts w:hint="eastAsia"/>
                              </w:rPr>
                              <w:t>st</w:t>
                            </w:r>
                            <w:r>
                              <w:t xml:space="preserve"> indexed DM-RS antenna port among the DM-RS antenna ports assigned for the codeword with the higher MCS. If the MCS indices of the two codewords are the same, the PT-RS antenna port is associated with the lowest indexed DM-RS antenna port assigned for codeword 0</w:t>
                            </w:r>
                            <w:r>
                              <w:rPr>
                                <w:rFonts w:hint="eastAsia"/>
                              </w:rPr>
                              <w:t>.</w:t>
                            </w:r>
                            <w:r>
                              <w:t xml:space="preserve"> </w:t>
                            </w:r>
                            <w:r>
                              <w:rPr>
                                <w:color w:val="FF0000"/>
                              </w:rPr>
                              <w:t xml:space="preserve">When a codeword is scheduled to transmit PDSCH for retransmission, </w:t>
                            </w:r>
                            <w:r>
                              <w:rPr>
                                <w:color w:val="FF0000"/>
                                <w:lang w:eastAsia="ko-KR"/>
                              </w:rPr>
                              <w:t>if the UE is scheduled with an MCS index greater than V, where V=28 for MCS Table 5.1.3.1-1 and Table 5.1.3.1-3, and V=27 for MCS Table 5.1.3.1-2 respectively,</w:t>
                            </w:r>
                            <w:r>
                              <w:rPr>
                                <w:color w:val="000000"/>
                                <w:lang w:eastAsia="ko-KR"/>
                              </w:rPr>
                              <w:t xml:space="preserve"> </w:t>
                            </w:r>
                            <w:r>
                              <w:rPr>
                                <w:color w:val="FF0000"/>
                              </w:rPr>
                              <w:t xml:space="preserve">the MCS for determining PT-RS association to codeword is obtained from the DCI for the same transport block in the initial transmission. </w:t>
                            </w:r>
                          </w:p>
                          <w:p w14:paraId="2907A7D2" w14:textId="77777777" w:rsidR="004758B6" w:rsidRDefault="00000000">
                            <w:pPr>
                              <w:jc w:val="center"/>
                              <w:rPr>
                                <w:color w:val="FF0000"/>
                              </w:rPr>
                            </w:pPr>
                            <w:r>
                              <w:rPr>
                                <w:color w:val="FF0000"/>
                              </w:rPr>
                              <w:t xml:space="preserve">*** Unrelated </w:t>
                            </w:r>
                            <w:proofErr w:type="gramStart"/>
                            <w:r>
                              <w:rPr>
                                <w:color w:val="FF0000"/>
                              </w:rPr>
                              <w:t>text</w:t>
                            </w:r>
                            <w:proofErr w:type="gramEnd"/>
                            <w:r>
                              <w:rPr>
                                <w:color w:val="FF0000"/>
                              </w:rPr>
                              <w:t xml:space="preserve"> are omitted ***</w:t>
                            </w:r>
                          </w:p>
                          <w:p w14:paraId="25BDFD48" w14:textId="77777777" w:rsidR="004758B6" w:rsidRDefault="004758B6"/>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Text Box 2" o:spid="_x0000_s1026" o:spt="202" type="#_x0000_t202" style="position:absolute;left:0pt;margin-top:24.45pt;height:161.5pt;width:496pt;mso-position-horizontal:left;mso-position-horizontal-relative:margin;mso-wrap-distance-bottom:3.6pt;mso-wrap-distance-left:9pt;mso-wrap-distance-right:9pt;mso-wrap-distance-top:3.6pt;z-index:251661312;mso-width-relative:page;mso-height-relative:page;" fillcolor="#FFFFFF" filled="t" stroked="t" coordsize="21600,21600" o:gfxdata="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CNdbcHXAAAABwEAAA8AAAAAAAAAAQAgAAAAIgAAAGRycy9kb3ducmV2Lnht&#10;bFBLAQIUABQAAAAIAIdO4kDWkiV4MwIAAIQEAAAOAAAAAAAAAAEAIAAAACYBAABkcnMvZTJvRG9j&#10;LnhtbFBLBQYAAAAABgAGAFkBAADLBQAAAAA=&#10;">
                <v:fill on="t" focussize="0,0"/>
                <v:stroke color="#000000" miterlimit="8" joinstyle="miter"/>
                <v:imagedata o:title=""/>
                <o:lock v:ext="edit" aspectratio="f"/>
                <v:textbox>
                  <w:txbxContent>
                    <w:p>
                      <w:pPr>
                        <w:pStyle w:val="5"/>
                        <w:numPr>
                          <w:ilvl w:val="0"/>
                          <w:numId w:val="0"/>
                        </w:numPr>
                        <w:ind w:left="864" w:hanging="864"/>
                        <w:rPr>
                          <w:color w:val="000000"/>
                        </w:rPr>
                      </w:pPr>
                      <w:bookmarkStart w:id="33" w:name="_Toc11352103"/>
                      <w:bookmarkStart w:id="34" w:name="_Toc169793723"/>
                      <w:bookmarkStart w:id="35" w:name="_Toc45810565"/>
                      <w:bookmarkStart w:id="36" w:name="_Toc27299891"/>
                      <w:bookmarkStart w:id="37" w:name="_Toc29673156"/>
                      <w:bookmarkStart w:id="38" w:name="_Toc36645520"/>
                      <w:bookmarkStart w:id="39" w:name="_Toc29674290"/>
                      <w:bookmarkStart w:id="40" w:name="_Toc20317993"/>
                      <w:bookmarkStart w:id="41" w:name="_Toc29673297"/>
                      <w:r>
                        <w:rPr>
                          <w:color w:val="000000"/>
                        </w:rPr>
                        <w:t>5.1.6.3</w:t>
                      </w:r>
                      <w:r>
                        <w:rPr>
                          <w:color w:val="000000"/>
                        </w:rPr>
                        <w:tab/>
                      </w:r>
                      <w:r>
                        <w:rPr>
                          <w:color w:val="000000"/>
                        </w:rPr>
                        <w:t>PT-RS reception procedure</w:t>
                      </w:r>
                      <w:bookmarkEnd w:id="33"/>
                      <w:bookmarkEnd w:id="34"/>
                      <w:bookmarkEnd w:id="35"/>
                      <w:bookmarkEnd w:id="36"/>
                      <w:bookmarkEnd w:id="37"/>
                      <w:bookmarkEnd w:id="38"/>
                      <w:bookmarkEnd w:id="39"/>
                      <w:bookmarkEnd w:id="40"/>
                      <w:bookmarkEnd w:id="41"/>
                    </w:p>
                    <w:p>
                      <w:pPr>
                        <w:jc w:val="center"/>
                        <w:rPr>
                          <w:color w:val="FF0000"/>
                        </w:rPr>
                      </w:pPr>
                      <w:r>
                        <w:rPr>
                          <w:color w:val="FF0000"/>
                        </w:rPr>
                        <w:t>*** Unrelated text are omitted ***</w:t>
                      </w:r>
                    </w:p>
                    <w:p>
                      <w:pPr>
                        <w:rPr>
                          <w:color w:val="FF0000"/>
                        </w:rPr>
                      </w:pPr>
                      <w:r>
                        <w:rPr>
                          <w:rFonts w:hint="eastAsia"/>
                        </w:rPr>
                        <w:t>I</w:t>
                      </w:r>
                      <w:r>
                        <w:t>f a UE is scheduled with two codewords, the PT-RS antenna port is associated with the lowe</w:t>
                      </w:r>
                      <w:r>
                        <w:rPr>
                          <w:rFonts w:hint="eastAsia"/>
                        </w:rPr>
                        <w:t>st</w:t>
                      </w:r>
                      <w:r>
                        <w:t xml:space="preserve"> indexed DM-RS antenna port among the DM-RS antenna ports assigned for the codeword with the higher MCS. If the MCS indices of the two codewords are the same, the PT-RS antenna port is associated with the lowest indexed DM-RS antenna port assigned for codeword 0</w:t>
                      </w:r>
                      <w:r>
                        <w:rPr>
                          <w:rFonts w:hint="eastAsia"/>
                        </w:rPr>
                        <w:t>.</w:t>
                      </w:r>
                      <w:r>
                        <w:t xml:space="preserve"> </w:t>
                      </w:r>
                      <w:r>
                        <w:rPr>
                          <w:color w:val="FF0000"/>
                        </w:rPr>
                        <w:t xml:space="preserve">When a codeword is scheduled to transmit PDSCH for retransmission, </w:t>
                      </w:r>
                      <w:r>
                        <w:rPr>
                          <w:color w:val="FF0000"/>
                          <w:lang w:eastAsia="ko-KR"/>
                        </w:rPr>
                        <w:t>if the UE is scheduled with an MCS index greater than V, where V=28 for MCS Table 5.1.3.1-1 and Table 5.1.3.1-3, and V=27 for MCS Table 5.1.3.1-2 respectively,</w:t>
                      </w:r>
                      <w:r>
                        <w:rPr>
                          <w:color w:val="000000"/>
                          <w:lang w:eastAsia="ko-KR"/>
                        </w:rPr>
                        <w:t xml:space="preserve"> </w:t>
                      </w:r>
                      <w:r>
                        <w:rPr>
                          <w:color w:val="FF0000"/>
                        </w:rPr>
                        <w:t xml:space="preserve">the MCS for determining PT-RS association to codeword is obtained from the DCI for the same transport block in the initial transmission. </w:t>
                      </w:r>
                    </w:p>
                    <w:p>
                      <w:pPr>
                        <w:jc w:val="center"/>
                        <w:rPr>
                          <w:color w:val="FF0000"/>
                        </w:rPr>
                      </w:pPr>
                      <w:r>
                        <w:rPr>
                          <w:color w:val="FF0000"/>
                        </w:rPr>
                        <w:t>*** Unrelated text are omitted ***</w:t>
                      </w:r>
                    </w:p>
                    <w:p/>
                  </w:txbxContent>
                </v:textbox>
                <w10:wrap type="square"/>
              </v:shape>
            </w:pict>
          </mc:Fallback>
        </mc:AlternateContent>
      </w:r>
      <w:r>
        <w:rPr>
          <w:rFonts w:eastAsia="Microsoft YaHei"/>
          <w:b/>
          <w:bCs/>
          <w:color w:val="000000"/>
          <w:u w:val="single"/>
        </w:rPr>
        <w:t>Proposal 4</w:t>
      </w:r>
      <w:r>
        <w:rPr>
          <w:rFonts w:eastAsia="Microsoft YaHei"/>
          <w:b/>
          <w:bCs/>
          <w:color w:val="000000"/>
        </w:rPr>
        <w:t xml:space="preserve">: If </w:t>
      </w:r>
      <w:r>
        <w:rPr>
          <w:b/>
          <w:bCs/>
        </w:rPr>
        <w:t xml:space="preserve">Alternative 2 is agreed, the following TP is adopted for Section 5.1.6.3 in TS38.214, FFS which release. </w:t>
      </w:r>
    </w:p>
    <w:p w14:paraId="6DFA9DD2" w14:textId="77777777" w:rsidR="004758B6" w:rsidRDefault="004758B6"/>
    <w:p w14:paraId="4285629F" w14:textId="77777777" w:rsidR="004758B6" w:rsidRDefault="00000000">
      <w:pPr>
        <w:pStyle w:val="Heading1"/>
        <w:rPr>
          <w:lang w:val="en-US"/>
        </w:rPr>
      </w:pPr>
      <w:bookmarkStart w:id="29" w:name="_Ref7626308"/>
      <w:bookmarkStart w:id="30" w:name="_Ref463027406"/>
      <w:bookmarkStart w:id="31" w:name="_Ref21100018"/>
      <w:bookmarkStart w:id="32" w:name="_Toc424303267"/>
      <w:bookmarkStart w:id="33" w:name="_Toc425501584"/>
      <w:bookmarkStart w:id="34" w:name="_Ref525738606"/>
      <w:bookmarkStart w:id="35" w:name="_Ref465963195"/>
      <w:bookmarkStart w:id="36" w:name="_Ref466040522"/>
      <w:bookmarkStart w:id="37" w:name="_Ref378529477"/>
      <w:bookmarkStart w:id="38" w:name="_Toc425248865"/>
      <w:bookmarkStart w:id="39" w:name="_Toc425350726"/>
      <w:bookmarkStart w:id="40" w:name="_Toc425344835"/>
      <w:bookmarkStart w:id="41" w:name="_Toc425504168"/>
      <w:bookmarkEnd w:id="5"/>
      <w:bookmarkEnd w:id="6"/>
      <w:bookmarkEnd w:id="7"/>
      <w:bookmarkEnd w:id="19"/>
      <w:r>
        <w:rPr>
          <w:lang w:val="en-US"/>
        </w:rPr>
        <w:t>Round 3 discussion</w:t>
      </w:r>
    </w:p>
    <w:p w14:paraId="122545CE" w14:textId="77777777" w:rsidR="004758B6" w:rsidRDefault="00000000">
      <w:pPr>
        <w:rPr>
          <w:bCs/>
          <w:lang w:eastAsia="ko-KR"/>
        </w:rPr>
      </w:pPr>
      <w:r>
        <w:rPr>
          <w:bCs/>
          <w:lang w:eastAsia="ko-KR"/>
        </w:rPr>
        <w:t xml:space="preserve">The following proposal was agreed on Tuesday session. </w:t>
      </w:r>
    </w:p>
    <w:p w14:paraId="3AF3B3B9" w14:textId="77777777" w:rsidR="004758B6" w:rsidRDefault="00000000">
      <w:pPr>
        <w:rPr>
          <w:bCs/>
          <w:lang w:eastAsia="ko-KR"/>
        </w:rPr>
      </w:pPr>
      <w:r>
        <w:rPr>
          <w:bCs/>
          <w:highlight w:val="green"/>
          <w:lang w:eastAsia="ko-KR"/>
        </w:rPr>
        <w:t>Proposal 1:</w:t>
      </w:r>
      <w:r>
        <w:rPr>
          <w:bCs/>
          <w:lang w:eastAsia="ko-KR"/>
        </w:rPr>
        <w:t xml:space="preserve"> </w:t>
      </w:r>
    </w:p>
    <w:p w14:paraId="3242896A" w14:textId="77777777" w:rsidR="004758B6" w:rsidRDefault="00000000">
      <w:pPr>
        <w:rPr>
          <w:bCs/>
          <w:lang w:eastAsia="ko-KR"/>
        </w:rPr>
      </w:pPr>
      <w:r>
        <w:rPr>
          <w:bCs/>
          <w:lang w:eastAsia="ko-KR"/>
        </w:rPr>
        <w:t>In the case of single-port PTRS with 2 CWs PUSCH, it is clarified that UE’s behavior is firstly determining PTRS to CW association, followed by PTRS time density determination.</w:t>
      </w:r>
    </w:p>
    <w:p w14:paraId="3D9E6CBE" w14:textId="77777777" w:rsidR="004758B6" w:rsidRDefault="00000000">
      <w:pPr>
        <w:numPr>
          <w:ilvl w:val="0"/>
          <w:numId w:val="12"/>
        </w:numPr>
        <w:overflowPunct/>
        <w:autoSpaceDE/>
        <w:autoSpaceDN/>
        <w:spacing w:after="0"/>
        <w:rPr>
          <w:bCs/>
          <w:lang w:eastAsia="ko-KR"/>
        </w:rPr>
      </w:pPr>
      <w:r>
        <w:rPr>
          <w:bCs/>
          <w:lang w:eastAsia="ko-KR"/>
        </w:rPr>
        <w:t>Further discuss in RAN1#118 on whether TP is needed.</w:t>
      </w:r>
    </w:p>
    <w:p w14:paraId="01BE8893" w14:textId="77777777" w:rsidR="004758B6" w:rsidRDefault="00000000">
      <w:pPr>
        <w:numPr>
          <w:ilvl w:val="0"/>
          <w:numId w:val="12"/>
        </w:numPr>
        <w:overflowPunct/>
        <w:autoSpaceDE/>
        <w:autoSpaceDN/>
        <w:spacing w:after="0"/>
        <w:rPr>
          <w:bCs/>
          <w:lang w:eastAsia="ko-KR"/>
        </w:rPr>
      </w:pPr>
      <w:r>
        <w:rPr>
          <w:bCs/>
          <w:lang w:eastAsia="ko-KR"/>
        </w:rPr>
        <w:t xml:space="preserve">FFS: whether/how to clarify the similar case for 2 CWs PDSCH. </w:t>
      </w:r>
    </w:p>
    <w:p w14:paraId="058A10D3" w14:textId="77777777" w:rsidR="004758B6" w:rsidRDefault="004758B6"/>
    <w:p w14:paraId="1CB42295" w14:textId="77777777" w:rsidR="004758B6" w:rsidRDefault="00000000">
      <w:pPr>
        <w:pStyle w:val="Heading2"/>
      </w:pPr>
      <w:r>
        <w:t>Further discussion for 2 CWs PUSCH</w:t>
      </w:r>
    </w:p>
    <w:p w14:paraId="459F73E1" w14:textId="77777777" w:rsidR="004758B6" w:rsidRDefault="00000000">
      <w:pPr>
        <w:rPr>
          <w:lang w:val="en-GB"/>
        </w:rPr>
      </w:pPr>
      <w:r>
        <w:rPr>
          <w:lang w:val="en-GB"/>
        </w:rPr>
        <w:t xml:space="preserve">For PUSCH, the open question is whether a TP is needed to update Rel-18 spec. From FL’s perspective, it is preferred to have a TP/CR to make specification clear, rather than use Chair’s notes to clarify. Lessons learned before are that not all companies’ product team follow Chair’s notes closely which led to different implementations eventually. To avoid making the same mistakes, we should clarify in specification whenever is possible. </w:t>
      </w:r>
    </w:p>
    <w:p w14:paraId="112D4D74" w14:textId="77777777" w:rsidR="004758B6" w:rsidRDefault="00000000">
      <w:pPr>
        <w:rPr>
          <w:lang w:val="en-GB"/>
        </w:rPr>
      </w:pPr>
      <w:r>
        <w:rPr>
          <w:noProof/>
        </w:rPr>
        <w:lastRenderedPageBreak/>
        <mc:AlternateContent>
          <mc:Choice Requires="wps">
            <w:drawing>
              <wp:anchor distT="45720" distB="45720" distL="114300" distR="114300" simplePos="0" relativeHeight="251668480" behindDoc="0" locked="0" layoutInCell="1" allowOverlap="1" wp14:anchorId="67970F25" wp14:editId="292CDD4D">
                <wp:simplePos x="0" y="0"/>
                <wp:positionH relativeFrom="margin">
                  <wp:align>left</wp:align>
                </wp:positionH>
                <wp:positionV relativeFrom="paragraph">
                  <wp:posOffset>304165</wp:posOffset>
                </wp:positionV>
                <wp:extent cx="6318250" cy="1421765"/>
                <wp:effectExtent l="0" t="0" r="25400" b="26035"/>
                <wp:wrapSquare wrapText="bothSides"/>
                <wp:docPr id="8667310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1421765"/>
                        </a:xfrm>
                        <a:prstGeom prst="rect">
                          <a:avLst/>
                        </a:prstGeom>
                        <a:solidFill>
                          <a:srgbClr val="FFFFFF"/>
                        </a:solidFill>
                        <a:ln w="9525">
                          <a:solidFill>
                            <a:srgbClr val="000000"/>
                          </a:solidFill>
                          <a:miter lim="800000"/>
                        </a:ln>
                      </wps:spPr>
                      <wps:txbx>
                        <w:txbxContent>
                          <w:p w14:paraId="190D7C91" w14:textId="77777777" w:rsidR="004758B6" w:rsidRDefault="00000000">
                            <w:pPr>
                              <w:rPr>
                                <w:color w:val="FF0000"/>
                              </w:rPr>
                            </w:pPr>
                            <w:r>
                              <w:t xml:space="preserve">If a UE is scheduled with two codewords, </w:t>
                            </w:r>
                            <w:r>
                              <w:rPr>
                                <w:color w:val="FF0000"/>
                              </w:rPr>
                              <w:t>the following procedure is performed before PT-RS port time density determination.</w:t>
                            </w:r>
                          </w:p>
                          <w:p w14:paraId="357095A7" w14:textId="77777777" w:rsidR="004758B6" w:rsidRDefault="00000000">
                            <w:pPr>
                              <w:ind w:left="288"/>
                            </w:pPr>
                            <w:r>
                              <w:t xml:space="preserve">-    if the UE is configured with the higher layer parameter </w:t>
                            </w:r>
                            <w:proofErr w:type="spellStart"/>
                            <w:r>
                              <w:rPr>
                                <w:i/>
                                <w:iCs/>
                              </w:rPr>
                              <w:t>maxNrofPorts</w:t>
                            </w:r>
                            <w:proofErr w:type="spellEnd"/>
                            <w:r>
                              <w:t xml:space="preserve"> in </w:t>
                            </w:r>
                            <w:r>
                              <w:rPr>
                                <w:i/>
                                <w:iCs/>
                              </w:rPr>
                              <w:t>PTRS-</w:t>
                            </w:r>
                            <w:proofErr w:type="spellStart"/>
                            <w:r>
                              <w:rPr>
                                <w:i/>
                                <w:iCs/>
                              </w:rPr>
                              <w:t>UplinkConfig</w:t>
                            </w:r>
                            <w:proofErr w:type="spellEnd"/>
                            <w:r>
                              <w:t xml:space="preserve"> set to 'n1', the PT-RS port is associated with the one of DM-RS ports indicated by DCI field </w:t>
                            </w:r>
                            <w:r>
                              <w:rPr>
                                <w:i/>
                                <w:iCs/>
                              </w:rPr>
                              <w:t>PTRS-DMRS association </w:t>
                            </w:r>
                            <w:r>
                              <w:t>for the codeword with the higher MCS. If the MCS indices of the two codewords are the same, the PT-RS antenna port is associated with codeword 0. When a codeword is scheduled to transmit PUSCH for retransmission, the MCS for determining PT-RS association to codeword is obtained from the DCI for the same transport block in the initial transmission.</w:t>
                            </w:r>
                          </w:p>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Text Box 2" o:spid="_x0000_s1026" o:spt="202" type="#_x0000_t202" style="position:absolute;left:0pt;margin-top:23.95pt;height:111.95pt;width:497.5pt;mso-position-horizontal:left;mso-position-horizontal-relative:margin;mso-wrap-distance-bottom:3.6pt;mso-wrap-distance-left:9pt;mso-wrap-distance-right:9pt;mso-wrap-distance-top:3.6pt;z-index:251668480;mso-width-relative:page;mso-height-relative:page;" fillcolor="#FFFFFF" filled="t" stroked="t" coordsize="21600,21600" o:gfxdata="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vLf4UtcAAAAHAQAADwAAAAAAAAABACAAAAAiAAAAZHJzL2Rvd25yZXYueG1s&#10;UEsBAhQAFAAAAAgAh07iQJ/QOm4yAgAAgwQAAA4AAAAAAAAAAQAgAAAAJgEAAGRycy9lMm9Eb2Mu&#10;eG1sUEsFBgAAAAAGAAYAWQEAAMoFAAAAAA==&#10;">
                <v:fill on="t" focussize="0,0"/>
                <v:stroke color="#000000" miterlimit="8" joinstyle="miter"/>
                <v:imagedata o:title=""/>
                <o:lock v:ext="edit" aspectratio="f"/>
                <v:textbox>
                  <w:txbxContent>
                    <w:p>
                      <w:pPr>
                        <w:rPr>
                          <w:color w:val="FF0000"/>
                        </w:rPr>
                      </w:pPr>
                      <w:r>
                        <w:t xml:space="preserve">If a UE is scheduled with two codewords, </w:t>
                      </w:r>
                      <w:r>
                        <w:rPr>
                          <w:color w:val="FF0000"/>
                        </w:rPr>
                        <w:t>the following procedure is performed before PT-RS port time density determination.</w:t>
                      </w:r>
                    </w:p>
                    <w:p>
                      <w:pPr>
                        <w:ind w:left="288"/>
                      </w:pPr>
                      <w:r>
                        <w:t xml:space="preserve">-    if the UE is configured with the higher layer parameter </w:t>
                      </w:r>
                      <w:r>
                        <w:rPr>
                          <w:i/>
                          <w:iCs/>
                        </w:rPr>
                        <w:t>maxNrofPorts</w:t>
                      </w:r>
                      <w:r>
                        <w:t xml:space="preserve"> in </w:t>
                      </w:r>
                      <w:r>
                        <w:rPr>
                          <w:i/>
                          <w:iCs/>
                        </w:rPr>
                        <w:t>PTRS-UplinkConfig</w:t>
                      </w:r>
                      <w:r>
                        <w:t xml:space="preserve"> set to 'n1', the PT-RS port is associated with the one of DM-RS ports indicated by DCI field </w:t>
                      </w:r>
                      <w:r>
                        <w:rPr>
                          <w:i/>
                          <w:iCs/>
                        </w:rPr>
                        <w:t>PTRS-DMRS association </w:t>
                      </w:r>
                      <w:r>
                        <w:t>for the codeword with the higher MCS. If the MCS indices of the two codewords are the same, the PT-RS antenna port is associated with codeword 0. When a codeword is scheduled to transmit PUSCH for retransmission, the MCS for determining PT-RS association to codeword is obtained from the DCI for the same transport block in the initial transmission.</w:t>
                      </w:r>
                    </w:p>
                  </w:txbxContent>
                </v:textbox>
                <w10:wrap type="square"/>
              </v:shape>
            </w:pict>
          </mc:Fallback>
        </mc:AlternateContent>
      </w:r>
      <w:r>
        <w:rPr>
          <w:rFonts w:eastAsia="Microsoft YaHei"/>
          <w:b/>
          <w:bCs/>
          <w:color w:val="000000"/>
          <w:u w:val="single"/>
        </w:rPr>
        <w:t>Proposal 5.1</w:t>
      </w:r>
      <w:r>
        <w:rPr>
          <w:rFonts w:eastAsia="Microsoft YaHei"/>
          <w:b/>
          <w:bCs/>
          <w:color w:val="000000"/>
        </w:rPr>
        <w:t xml:space="preserve">: adopt the following TP in TS 38.214 Section 6.2.3.1 for Rel-18. </w:t>
      </w:r>
    </w:p>
    <w:p w14:paraId="12011AAF" w14:textId="77777777" w:rsidR="004758B6" w:rsidRDefault="00000000">
      <w:pPr>
        <w:rPr>
          <w:lang w:val="en-GB"/>
        </w:rPr>
      </w:pPr>
      <w:proofErr w:type="gramStart"/>
      <w:r>
        <w:rPr>
          <w:lang w:val="en-GB"/>
        </w:rPr>
        <w:t>Companies</w:t>
      </w:r>
      <w:proofErr w:type="gramEnd"/>
      <w:r>
        <w:rPr>
          <w:lang w:val="en-GB"/>
        </w:rPr>
        <w:t xml:space="preserve"> please provide comments whether a TP is needed. If yes, whether the above TP is acceptable or please provide a different TP. </w:t>
      </w:r>
    </w:p>
    <w:tbl>
      <w:tblPr>
        <w:tblStyle w:val="TableGrid"/>
        <w:tblW w:w="0" w:type="auto"/>
        <w:tblLook w:val="04A0" w:firstRow="1" w:lastRow="0" w:firstColumn="1" w:lastColumn="0" w:noHBand="0" w:noVBand="1"/>
      </w:tblPr>
      <w:tblGrid>
        <w:gridCol w:w="2155"/>
        <w:gridCol w:w="7807"/>
      </w:tblGrid>
      <w:tr w:rsidR="004758B6" w14:paraId="0AD66556" w14:textId="77777777">
        <w:tc>
          <w:tcPr>
            <w:tcW w:w="2155" w:type="dxa"/>
          </w:tcPr>
          <w:p w14:paraId="4F696040" w14:textId="77777777" w:rsidR="004758B6" w:rsidRDefault="00000000">
            <w:pPr>
              <w:spacing w:before="0" w:after="0"/>
              <w:jc w:val="left"/>
            </w:pPr>
            <w:r>
              <w:t>Company Name</w:t>
            </w:r>
          </w:p>
        </w:tc>
        <w:tc>
          <w:tcPr>
            <w:tcW w:w="7807" w:type="dxa"/>
          </w:tcPr>
          <w:p w14:paraId="189E4554" w14:textId="77777777" w:rsidR="004758B6" w:rsidRDefault="00000000">
            <w:pPr>
              <w:spacing w:before="0" w:after="0"/>
              <w:jc w:val="left"/>
            </w:pPr>
            <w:r>
              <w:t>Comments</w:t>
            </w:r>
          </w:p>
        </w:tc>
      </w:tr>
      <w:tr w:rsidR="004758B6" w14:paraId="31F0AE8B" w14:textId="77777777">
        <w:tc>
          <w:tcPr>
            <w:tcW w:w="2155" w:type="dxa"/>
          </w:tcPr>
          <w:p w14:paraId="5DFA4219" w14:textId="77777777" w:rsidR="004758B6" w:rsidRDefault="00000000">
            <w:pPr>
              <w:spacing w:before="0" w:after="0"/>
              <w:jc w:val="left"/>
              <w:rPr>
                <w:rFonts w:eastAsia="PMingLiU"/>
                <w:lang w:eastAsia="zh-TW"/>
              </w:rPr>
            </w:pPr>
            <w:r>
              <w:rPr>
                <w:rFonts w:eastAsia="PMingLiU"/>
                <w:lang w:eastAsia="zh-TW"/>
              </w:rPr>
              <w:t>Samsung</w:t>
            </w:r>
          </w:p>
        </w:tc>
        <w:tc>
          <w:tcPr>
            <w:tcW w:w="7807" w:type="dxa"/>
          </w:tcPr>
          <w:p w14:paraId="64C69937" w14:textId="77777777" w:rsidR="004758B6" w:rsidRDefault="00000000">
            <w:pPr>
              <w:spacing w:before="0" w:after="0"/>
              <w:jc w:val="left"/>
              <w:rPr>
                <w:rFonts w:eastAsia="PMingLiU"/>
                <w:lang w:eastAsia="zh-TW"/>
              </w:rPr>
            </w:pPr>
            <w:r>
              <w:rPr>
                <w:rFonts w:eastAsia="PMingLiU"/>
                <w:lang w:eastAsia="zh-TW"/>
              </w:rPr>
              <w:t>As we mentioned above, TP is not needed in our view.</w:t>
            </w:r>
          </w:p>
        </w:tc>
      </w:tr>
      <w:tr w:rsidR="004758B6" w14:paraId="6BD5E05D" w14:textId="77777777">
        <w:tc>
          <w:tcPr>
            <w:tcW w:w="2155" w:type="dxa"/>
          </w:tcPr>
          <w:p w14:paraId="7964E2FC" w14:textId="77777777" w:rsidR="004758B6" w:rsidRDefault="004758B6">
            <w:pPr>
              <w:spacing w:before="0" w:after="0"/>
              <w:jc w:val="left"/>
              <w:rPr>
                <w:lang w:eastAsia="zh-CN"/>
              </w:rPr>
            </w:pPr>
          </w:p>
        </w:tc>
        <w:tc>
          <w:tcPr>
            <w:tcW w:w="7807" w:type="dxa"/>
          </w:tcPr>
          <w:p w14:paraId="2E64CB3E" w14:textId="77777777" w:rsidR="004758B6" w:rsidRDefault="004758B6">
            <w:pPr>
              <w:spacing w:before="0" w:after="0"/>
              <w:jc w:val="left"/>
              <w:rPr>
                <w:lang w:eastAsia="zh-CN"/>
              </w:rPr>
            </w:pPr>
          </w:p>
        </w:tc>
      </w:tr>
    </w:tbl>
    <w:p w14:paraId="070D3DA2" w14:textId="77777777" w:rsidR="004758B6" w:rsidRDefault="004758B6">
      <w:pPr>
        <w:rPr>
          <w:lang w:val="en-GB"/>
        </w:rPr>
      </w:pPr>
    </w:p>
    <w:p w14:paraId="22022E6B" w14:textId="77777777" w:rsidR="004758B6" w:rsidRDefault="00000000">
      <w:pPr>
        <w:pStyle w:val="Heading2"/>
      </w:pPr>
      <w:r>
        <w:t>Further discussion for 2 CWs PDSCH</w:t>
      </w:r>
    </w:p>
    <w:p w14:paraId="48BB8C0C" w14:textId="77777777" w:rsidR="004758B6" w:rsidRDefault="00000000">
      <w:pPr>
        <w:rPr>
          <w:lang w:val="en-GB"/>
        </w:rPr>
      </w:pPr>
      <w:r>
        <w:rPr>
          <w:lang w:val="en-GB"/>
        </w:rPr>
        <w:t>For PDSCH, from FL perspective, it is preferred to clarify the ordering following the similar way as for PUSCH, given 2 CWs PDSCH might be more likely to be deployed earlier in practice than 2 CWs PUSCH. Therefore, the following is proposed.</w:t>
      </w:r>
    </w:p>
    <w:p w14:paraId="5DF885A5" w14:textId="77777777" w:rsidR="004758B6" w:rsidRDefault="00000000">
      <w:pPr>
        <w:rPr>
          <w:bCs/>
          <w:lang w:eastAsia="ko-KR"/>
        </w:rPr>
      </w:pPr>
      <w:r>
        <w:rPr>
          <w:rFonts w:eastAsia="Microsoft YaHei"/>
          <w:b/>
          <w:bCs/>
          <w:color w:val="000000"/>
          <w:u w:val="single"/>
        </w:rPr>
        <w:t>Proposal 5.2</w:t>
      </w:r>
      <w:r>
        <w:rPr>
          <w:rFonts w:eastAsia="Microsoft YaHei"/>
          <w:b/>
          <w:bCs/>
          <w:color w:val="000000"/>
        </w:rPr>
        <w:t xml:space="preserve">: </w:t>
      </w:r>
      <w:r>
        <w:rPr>
          <w:b/>
          <w:lang w:eastAsia="ko-KR"/>
        </w:rPr>
        <w:t>In the case of single-port PTRS with 2 CWs PDSCH, it is clarified that UE’s behavior is firstly determining PTRS to CW association, followed by PTRS time density determination.</w:t>
      </w:r>
    </w:p>
    <w:p w14:paraId="222BEA41" w14:textId="77777777" w:rsidR="004758B6" w:rsidRDefault="00000000">
      <w:pPr>
        <w:rPr>
          <w:bCs/>
          <w:lang w:eastAsia="ko-KR"/>
        </w:rPr>
      </w:pPr>
      <w:proofErr w:type="gramStart"/>
      <w:r>
        <w:rPr>
          <w:lang w:val="en-GB"/>
        </w:rPr>
        <w:t>Companies</w:t>
      </w:r>
      <w:proofErr w:type="gramEnd"/>
      <w:r>
        <w:rPr>
          <w:lang w:val="en-GB"/>
        </w:rPr>
        <w:t xml:space="preserve"> please provide comments in the following table for above proposal. </w:t>
      </w:r>
    </w:p>
    <w:tbl>
      <w:tblPr>
        <w:tblStyle w:val="TableGrid"/>
        <w:tblW w:w="0" w:type="auto"/>
        <w:tblLook w:val="04A0" w:firstRow="1" w:lastRow="0" w:firstColumn="1" w:lastColumn="0" w:noHBand="0" w:noVBand="1"/>
      </w:tblPr>
      <w:tblGrid>
        <w:gridCol w:w="2155"/>
        <w:gridCol w:w="7807"/>
      </w:tblGrid>
      <w:tr w:rsidR="004758B6" w14:paraId="2D5FD24F" w14:textId="77777777">
        <w:tc>
          <w:tcPr>
            <w:tcW w:w="2155" w:type="dxa"/>
          </w:tcPr>
          <w:p w14:paraId="09C674E4" w14:textId="77777777" w:rsidR="004758B6" w:rsidRDefault="00000000">
            <w:pPr>
              <w:spacing w:before="0" w:after="0"/>
              <w:jc w:val="left"/>
            </w:pPr>
            <w:r>
              <w:t>Company Name</w:t>
            </w:r>
          </w:p>
        </w:tc>
        <w:tc>
          <w:tcPr>
            <w:tcW w:w="7807" w:type="dxa"/>
          </w:tcPr>
          <w:p w14:paraId="1D7F07ED" w14:textId="77777777" w:rsidR="004758B6" w:rsidRDefault="00000000">
            <w:pPr>
              <w:spacing w:before="0" w:after="0"/>
              <w:jc w:val="left"/>
            </w:pPr>
            <w:r>
              <w:t>Comments</w:t>
            </w:r>
          </w:p>
        </w:tc>
      </w:tr>
      <w:tr w:rsidR="004758B6" w14:paraId="00D1AB0E" w14:textId="77777777">
        <w:tc>
          <w:tcPr>
            <w:tcW w:w="2155" w:type="dxa"/>
          </w:tcPr>
          <w:p w14:paraId="5013F7EA" w14:textId="77777777" w:rsidR="004758B6" w:rsidRDefault="00000000">
            <w:pPr>
              <w:spacing w:before="0" w:after="0"/>
              <w:jc w:val="left"/>
              <w:rPr>
                <w:rFonts w:eastAsia="PMingLiU"/>
                <w:lang w:eastAsia="zh-TW"/>
              </w:rPr>
            </w:pPr>
            <w:r>
              <w:rPr>
                <w:rFonts w:eastAsia="PMingLiU"/>
                <w:lang w:eastAsia="zh-TW"/>
              </w:rPr>
              <w:t>Samsung</w:t>
            </w:r>
          </w:p>
        </w:tc>
        <w:tc>
          <w:tcPr>
            <w:tcW w:w="7807" w:type="dxa"/>
          </w:tcPr>
          <w:p w14:paraId="291AB655" w14:textId="77777777" w:rsidR="004758B6" w:rsidRDefault="00000000">
            <w:pPr>
              <w:spacing w:before="0" w:after="0"/>
              <w:jc w:val="left"/>
              <w:rPr>
                <w:rFonts w:eastAsia="PMingLiU"/>
                <w:lang w:eastAsia="zh-TW"/>
              </w:rPr>
            </w:pPr>
            <w:r>
              <w:rPr>
                <w:rFonts w:eastAsia="PMingLiU"/>
                <w:lang w:eastAsia="zh-TW"/>
              </w:rPr>
              <w:t>Similar view. our understanding is approach A, and we are OK with a conclusion stating this if needed.</w:t>
            </w:r>
          </w:p>
        </w:tc>
      </w:tr>
      <w:tr w:rsidR="004758B6" w14:paraId="19A92489" w14:textId="77777777">
        <w:tc>
          <w:tcPr>
            <w:tcW w:w="2155" w:type="dxa"/>
          </w:tcPr>
          <w:p w14:paraId="069BF934" w14:textId="77777777" w:rsidR="004758B6" w:rsidRDefault="00000000">
            <w:pPr>
              <w:spacing w:before="0" w:after="0"/>
              <w:jc w:val="left"/>
              <w:rPr>
                <w:lang w:eastAsia="zh-CN"/>
              </w:rPr>
            </w:pPr>
            <w:r>
              <w:rPr>
                <w:lang w:eastAsia="zh-CN"/>
              </w:rPr>
              <w:t>ZTE</w:t>
            </w:r>
          </w:p>
        </w:tc>
        <w:tc>
          <w:tcPr>
            <w:tcW w:w="7807" w:type="dxa"/>
          </w:tcPr>
          <w:p w14:paraId="28B3ED73" w14:textId="77777777" w:rsidR="004758B6" w:rsidRDefault="00000000">
            <w:pPr>
              <w:spacing w:before="0" w:after="0"/>
              <w:jc w:val="left"/>
              <w:rPr>
                <w:lang w:eastAsia="zh-CN"/>
              </w:rPr>
            </w:pPr>
            <w:r>
              <w:rPr>
                <w:lang w:eastAsia="zh-CN"/>
              </w:rPr>
              <w:t>Fine to reach the conclusion for clarification, which is in line with majority point of view, though.</w:t>
            </w:r>
          </w:p>
        </w:tc>
      </w:tr>
    </w:tbl>
    <w:p w14:paraId="08EB6876" w14:textId="77777777" w:rsidR="004758B6" w:rsidRDefault="004758B6">
      <w:pPr>
        <w:rPr>
          <w:lang w:val="en-GB"/>
        </w:rPr>
      </w:pPr>
    </w:p>
    <w:p w14:paraId="4A133A0A" w14:textId="77777777" w:rsidR="004758B6" w:rsidRDefault="00000000">
      <w:pPr>
        <w:rPr>
          <w:lang w:val="en-GB"/>
        </w:rPr>
      </w:pPr>
      <w:r>
        <w:rPr>
          <w:lang w:val="en-GB"/>
        </w:rPr>
        <w:t xml:space="preserve">Similar as for PUSCH, a TP is provided for companies to consider </w:t>
      </w:r>
      <w:proofErr w:type="gramStart"/>
      <w:r>
        <w:rPr>
          <w:lang w:val="en-GB"/>
        </w:rPr>
        <w:t>to clarify</w:t>
      </w:r>
      <w:proofErr w:type="gramEnd"/>
      <w:r>
        <w:rPr>
          <w:lang w:val="en-GB"/>
        </w:rPr>
        <w:t xml:space="preserve"> the PDSCH case in specification. For PDSCH, the tricky thing is in which release we should adopt the TP. FL’s assessment is that it is too late to update Rel-15/16 specification. Therefore, it is recommended to adopt the TP for Rel-17.  </w:t>
      </w:r>
    </w:p>
    <w:p w14:paraId="5EA6788C" w14:textId="77777777" w:rsidR="004758B6" w:rsidRDefault="00000000">
      <w:pPr>
        <w:rPr>
          <w:lang w:val="en-GB"/>
        </w:rPr>
      </w:pPr>
      <w:r>
        <w:rPr>
          <w:rFonts w:eastAsia="Microsoft YaHei"/>
          <w:b/>
          <w:bCs/>
          <w:color w:val="000000"/>
          <w:u w:val="single"/>
        </w:rPr>
        <w:t>Proposal 5.3</w:t>
      </w:r>
      <w:r>
        <w:rPr>
          <w:rFonts w:eastAsia="Microsoft YaHei"/>
          <w:b/>
          <w:bCs/>
          <w:color w:val="000000"/>
        </w:rPr>
        <w:t xml:space="preserve">: adopt the following TP in TS 38.214 Section 5.1.6.3 for </w:t>
      </w:r>
      <w:r>
        <w:rPr>
          <w:rFonts w:eastAsia="Microsoft YaHei"/>
          <w:b/>
          <w:bCs/>
          <w:color w:val="000000"/>
          <w:highlight w:val="yellow"/>
        </w:rPr>
        <w:t>Rel-17</w:t>
      </w:r>
      <w:r>
        <w:rPr>
          <w:rFonts w:eastAsia="Microsoft YaHei"/>
          <w:b/>
          <w:bCs/>
          <w:color w:val="000000"/>
        </w:rPr>
        <w:t xml:space="preserve"> and beyond.</w:t>
      </w:r>
      <w:r>
        <w:rPr>
          <w:noProof/>
        </w:rPr>
        <mc:AlternateContent>
          <mc:Choice Requires="wps">
            <w:drawing>
              <wp:anchor distT="45720" distB="45720" distL="114300" distR="114300" simplePos="0" relativeHeight="251669504" behindDoc="0" locked="0" layoutInCell="1" allowOverlap="1" wp14:anchorId="3932AB2A" wp14:editId="67DD3C14">
                <wp:simplePos x="0" y="0"/>
                <wp:positionH relativeFrom="margin">
                  <wp:posOffset>0</wp:posOffset>
                </wp:positionH>
                <wp:positionV relativeFrom="paragraph">
                  <wp:posOffset>304165</wp:posOffset>
                </wp:positionV>
                <wp:extent cx="6299200" cy="704850"/>
                <wp:effectExtent l="0" t="0" r="25400" b="19050"/>
                <wp:wrapSquare wrapText="bothSides"/>
                <wp:docPr id="3439762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704850"/>
                        </a:xfrm>
                        <a:prstGeom prst="rect">
                          <a:avLst/>
                        </a:prstGeom>
                        <a:solidFill>
                          <a:srgbClr val="FFFFFF"/>
                        </a:solidFill>
                        <a:ln w="9525">
                          <a:solidFill>
                            <a:srgbClr val="000000"/>
                          </a:solidFill>
                          <a:miter lim="800000"/>
                        </a:ln>
                      </wps:spPr>
                      <wps:txbx>
                        <w:txbxContent>
                          <w:p w14:paraId="525E0E5E" w14:textId="77777777" w:rsidR="004758B6" w:rsidRDefault="00000000">
                            <w:r>
                              <w:rPr>
                                <w:rFonts w:hint="eastAsia"/>
                              </w:rPr>
                              <w:t>I</w:t>
                            </w:r>
                            <w:r>
                              <w:t xml:space="preserve">f a UE is scheduled with two codewords, </w:t>
                            </w:r>
                            <w:r>
                              <w:rPr>
                                <w:color w:val="FF0000"/>
                              </w:rPr>
                              <w:t xml:space="preserve">the following procedure is performed before PT-RS port time density determination. </w:t>
                            </w:r>
                            <w:proofErr w:type="spellStart"/>
                            <w:r>
                              <w:rPr>
                                <w:strike/>
                                <w:color w:val="FF0000"/>
                              </w:rPr>
                              <w:t>t</w:t>
                            </w:r>
                            <w:r>
                              <w:rPr>
                                <w:color w:val="FF0000"/>
                              </w:rPr>
                              <w:t>T</w:t>
                            </w:r>
                            <w:r>
                              <w:t>he</w:t>
                            </w:r>
                            <w:proofErr w:type="spellEnd"/>
                            <w:r>
                              <w:t xml:space="preserve"> PT-RS antenna port is associated with the lowe</w:t>
                            </w:r>
                            <w:r>
                              <w:rPr>
                                <w:rFonts w:hint="eastAsia"/>
                              </w:rPr>
                              <w:t>st</w:t>
                            </w:r>
                            <w:r>
                              <w:t xml:space="preserve"> indexed DM-RS antenna port among the DM-RS antenna ports assigned for the codeword with the higher MCS. If the MCS indices of the two codewords are the same, the PT-RS antenna port is associated with the lowest indexed DM-RS antenna port assigned for codeword 0</w:t>
                            </w:r>
                            <w:r>
                              <w:rPr>
                                <w:rFonts w:hint="eastAsia"/>
                              </w:rPr>
                              <w:t>.</w:t>
                            </w:r>
                          </w:p>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Text Box 2" o:spid="_x0000_s1026" o:spt="202" type="#_x0000_t202" style="position:absolute;left:0pt;margin-left:0pt;margin-top:23.95pt;height:55.5pt;width:496pt;mso-position-horizontal-relative:margin;mso-wrap-distance-bottom:3.6pt;mso-wrap-distance-left:9pt;mso-wrap-distance-right:9pt;mso-wrap-distance-top:3.6pt;z-index:251669504;mso-width-relative:page;mso-height-relative:page;" fillcolor="#FFFFFF" filled="t" stroked="t" coordsize="21600,21600" o:gfxdata="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Qf3xS1wAAAAcBAAAPAAAAAAAAAAEAIAAAACIAAABkcnMvZG93bnJldi54bWxQ&#10;SwECFAAUAAAACACHTuJAAAmYZDECAACCBAAADgAAAAAAAAABACAAAAAmAQAAZHJzL2Uyb0RvYy54&#10;bWxQSwUGAAAAAAYABgBZAQAAyQUAAAAA&#10;">
                <v:fill on="t" focussize="0,0"/>
                <v:stroke color="#000000" miterlimit="8" joinstyle="miter"/>
                <v:imagedata o:title=""/>
                <o:lock v:ext="edit" aspectratio="f"/>
                <v:textbox>
                  <w:txbxContent>
                    <w:p>
                      <w:r>
                        <w:rPr>
                          <w:rFonts w:hint="eastAsia"/>
                        </w:rPr>
                        <w:t>I</w:t>
                      </w:r>
                      <w:r>
                        <w:t xml:space="preserve">f a UE is scheduled with two codewords, </w:t>
                      </w:r>
                      <w:r>
                        <w:rPr>
                          <w:color w:val="FF0000"/>
                        </w:rPr>
                        <w:t xml:space="preserve">the following procedure is performed before PT-RS port time density determination. </w:t>
                      </w:r>
                      <w:r>
                        <w:rPr>
                          <w:strike/>
                          <w:color w:val="FF0000"/>
                        </w:rPr>
                        <w:t>t</w:t>
                      </w:r>
                      <w:r>
                        <w:rPr>
                          <w:color w:val="FF0000"/>
                        </w:rPr>
                        <w:t>T</w:t>
                      </w:r>
                      <w:r>
                        <w:t>he PT-RS antenna port is associated with the lowe</w:t>
                      </w:r>
                      <w:r>
                        <w:rPr>
                          <w:rFonts w:hint="eastAsia"/>
                        </w:rPr>
                        <w:t>st</w:t>
                      </w:r>
                      <w:r>
                        <w:t xml:space="preserve"> indexed DM-RS antenna port among the DM-RS antenna ports assigned for the codeword with the higher MCS. If the MCS indices of the two codewords are the same, the PT-RS antenna port is associated with the lowest indexed DM-RS antenna port assigned for codeword 0</w:t>
                      </w:r>
                      <w:r>
                        <w:rPr>
                          <w:rFonts w:hint="eastAsia"/>
                        </w:rPr>
                        <w:t>.</w:t>
                      </w:r>
                    </w:p>
                  </w:txbxContent>
                </v:textbox>
                <w10:wrap type="square"/>
              </v:shape>
            </w:pict>
          </mc:Fallback>
        </mc:AlternateContent>
      </w:r>
    </w:p>
    <w:p w14:paraId="336B6C06" w14:textId="77777777" w:rsidR="004758B6" w:rsidRDefault="00000000">
      <w:pPr>
        <w:rPr>
          <w:bCs/>
          <w:lang w:eastAsia="ko-KR"/>
        </w:rPr>
      </w:pPr>
      <w:proofErr w:type="gramStart"/>
      <w:r>
        <w:rPr>
          <w:lang w:val="en-GB"/>
        </w:rPr>
        <w:t>Companies</w:t>
      </w:r>
      <w:proofErr w:type="gramEnd"/>
      <w:r>
        <w:rPr>
          <w:lang w:val="en-GB"/>
        </w:rPr>
        <w:t xml:space="preserve"> please provide comments in the following table for above proposal. </w:t>
      </w:r>
    </w:p>
    <w:tbl>
      <w:tblPr>
        <w:tblStyle w:val="TableGrid"/>
        <w:tblW w:w="0" w:type="auto"/>
        <w:tblLook w:val="04A0" w:firstRow="1" w:lastRow="0" w:firstColumn="1" w:lastColumn="0" w:noHBand="0" w:noVBand="1"/>
      </w:tblPr>
      <w:tblGrid>
        <w:gridCol w:w="2155"/>
        <w:gridCol w:w="7807"/>
      </w:tblGrid>
      <w:tr w:rsidR="004758B6" w14:paraId="220C6146" w14:textId="77777777">
        <w:tc>
          <w:tcPr>
            <w:tcW w:w="2155" w:type="dxa"/>
          </w:tcPr>
          <w:p w14:paraId="3B1C01DD" w14:textId="77777777" w:rsidR="004758B6" w:rsidRDefault="00000000">
            <w:pPr>
              <w:spacing w:before="0" w:after="0"/>
              <w:jc w:val="left"/>
            </w:pPr>
            <w:r>
              <w:t>Company Name</w:t>
            </w:r>
          </w:p>
        </w:tc>
        <w:tc>
          <w:tcPr>
            <w:tcW w:w="7807" w:type="dxa"/>
          </w:tcPr>
          <w:p w14:paraId="3C805367" w14:textId="77777777" w:rsidR="004758B6" w:rsidRDefault="00000000">
            <w:pPr>
              <w:spacing w:before="0" w:after="0"/>
              <w:jc w:val="left"/>
            </w:pPr>
            <w:r>
              <w:t>Comments</w:t>
            </w:r>
          </w:p>
        </w:tc>
      </w:tr>
      <w:tr w:rsidR="004758B6" w14:paraId="42E65456" w14:textId="77777777">
        <w:tc>
          <w:tcPr>
            <w:tcW w:w="2155" w:type="dxa"/>
          </w:tcPr>
          <w:p w14:paraId="4FFC7F83" w14:textId="77777777" w:rsidR="004758B6" w:rsidRDefault="00000000">
            <w:pPr>
              <w:spacing w:before="0" w:after="0"/>
              <w:jc w:val="left"/>
              <w:rPr>
                <w:rFonts w:eastAsia="PMingLiU"/>
                <w:lang w:eastAsia="zh-TW"/>
              </w:rPr>
            </w:pPr>
            <w:r>
              <w:rPr>
                <w:rFonts w:eastAsia="PMingLiU"/>
                <w:lang w:eastAsia="zh-TW"/>
              </w:rPr>
              <w:t>Samsung</w:t>
            </w:r>
          </w:p>
        </w:tc>
        <w:tc>
          <w:tcPr>
            <w:tcW w:w="7807" w:type="dxa"/>
          </w:tcPr>
          <w:p w14:paraId="24B4B090" w14:textId="77777777" w:rsidR="004758B6" w:rsidRDefault="00000000">
            <w:pPr>
              <w:spacing w:before="0" w:after="0"/>
              <w:jc w:val="left"/>
              <w:rPr>
                <w:rFonts w:eastAsia="PMingLiU"/>
                <w:lang w:eastAsia="zh-TW"/>
              </w:rPr>
            </w:pPr>
            <w:r>
              <w:rPr>
                <w:rFonts w:eastAsia="PMingLiU"/>
                <w:lang w:eastAsia="zh-TW"/>
              </w:rPr>
              <w:t>TP is not needed in our view.</w:t>
            </w:r>
          </w:p>
        </w:tc>
      </w:tr>
      <w:tr w:rsidR="004758B6" w14:paraId="5C537FCC" w14:textId="77777777">
        <w:tc>
          <w:tcPr>
            <w:tcW w:w="2155" w:type="dxa"/>
          </w:tcPr>
          <w:p w14:paraId="193E40C9" w14:textId="77777777" w:rsidR="004758B6" w:rsidRDefault="00000000">
            <w:pPr>
              <w:spacing w:before="0" w:after="0"/>
              <w:jc w:val="left"/>
              <w:rPr>
                <w:lang w:eastAsia="zh-CN"/>
              </w:rPr>
            </w:pPr>
            <w:r>
              <w:rPr>
                <w:lang w:eastAsia="zh-CN"/>
              </w:rPr>
              <w:t>ZTE</w:t>
            </w:r>
          </w:p>
        </w:tc>
        <w:tc>
          <w:tcPr>
            <w:tcW w:w="7807" w:type="dxa"/>
          </w:tcPr>
          <w:p w14:paraId="044814D2" w14:textId="77777777" w:rsidR="004758B6" w:rsidRDefault="00000000">
            <w:pPr>
              <w:spacing w:before="0" w:after="0"/>
              <w:jc w:val="left"/>
              <w:rPr>
                <w:lang w:eastAsia="zh-CN"/>
              </w:rPr>
            </w:pPr>
            <w:r>
              <w:rPr>
                <w:lang w:eastAsia="zh-CN"/>
              </w:rPr>
              <w:t>TP is not needed.</w:t>
            </w:r>
          </w:p>
        </w:tc>
      </w:tr>
    </w:tbl>
    <w:p w14:paraId="0A5AA834" w14:textId="77777777" w:rsidR="004758B6" w:rsidRDefault="004758B6">
      <w:pPr>
        <w:rPr>
          <w:lang w:val="en-GB"/>
        </w:rPr>
      </w:pPr>
    </w:p>
    <w:p w14:paraId="52F3865E" w14:textId="77777777" w:rsidR="004758B6" w:rsidRDefault="004758B6">
      <w:pPr>
        <w:rPr>
          <w:lang w:val="en-GB"/>
        </w:rPr>
      </w:pPr>
    </w:p>
    <w:p w14:paraId="637695D2" w14:textId="77777777" w:rsidR="004758B6" w:rsidRDefault="004758B6">
      <w:pPr>
        <w:rPr>
          <w:lang w:val="en-GB"/>
        </w:rPr>
      </w:pPr>
    </w:p>
    <w:p w14:paraId="575E72AD" w14:textId="77777777" w:rsidR="004758B6" w:rsidRDefault="00000000">
      <w:pPr>
        <w:pStyle w:val="Heading1"/>
        <w:jc w:val="both"/>
        <w:rPr>
          <w:lang w:eastAsia="zh-CN"/>
        </w:rPr>
      </w:pPr>
      <w:r>
        <w:rPr>
          <w:lang w:eastAsia="zh-CN"/>
        </w:rPr>
        <w:t>Conclusions</w:t>
      </w:r>
      <w:bookmarkEnd w:id="29"/>
      <w:bookmarkEnd w:id="30"/>
      <w:bookmarkEnd w:id="31"/>
      <w:bookmarkEnd w:id="32"/>
      <w:bookmarkEnd w:id="33"/>
      <w:bookmarkEnd w:id="34"/>
      <w:bookmarkEnd w:id="35"/>
      <w:bookmarkEnd w:id="36"/>
      <w:bookmarkEnd w:id="37"/>
      <w:bookmarkEnd w:id="38"/>
      <w:bookmarkEnd w:id="39"/>
      <w:bookmarkEnd w:id="40"/>
      <w:bookmarkEnd w:id="41"/>
    </w:p>
    <w:p w14:paraId="5D624B6F" w14:textId="77777777" w:rsidR="004758B6" w:rsidRDefault="00000000">
      <w:pPr>
        <w:rPr>
          <w:rFonts w:eastAsia="Microsoft YaHei"/>
          <w:b/>
          <w:bCs/>
          <w:color w:val="000000"/>
        </w:rPr>
      </w:pPr>
      <w:r>
        <w:rPr>
          <w:rFonts w:cs="Times"/>
        </w:rPr>
        <w:t>TBD</w:t>
      </w:r>
    </w:p>
    <w:sectPr w:rsidR="004758B6">
      <w:headerReference w:type="even" r:id="rId13"/>
      <w:footerReference w:type="even" r:id="rId14"/>
      <w:footerReference w:type="default" r:id="rId15"/>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14744B" w14:textId="77777777" w:rsidR="000532F9" w:rsidRDefault="000532F9">
      <w:pPr>
        <w:spacing w:after="0"/>
      </w:pPr>
      <w:r>
        <w:separator/>
      </w:r>
    </w:p>
  </w:endnote>
  <w:endnote w:type="continuationSeparator" w:id="0">
    <w:p w14:paraId="7FFF79ED" w14:textId="77777777" w:rsidR="000532F9" w:rsidRDefault="000532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D142A" w14:textId="77777777" w:rsidR="004758B6"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5B38EB" w14:textId="77777777" w:rsidR="004758B6" w:rsidRDefault="004758B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FC8ECF" w14:textId="77777777" w:rsidR="004758B6" w:rsidRDefault="0000000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A0B86E" w14:textId="77777777" w:rsidR="000532F9" w:rsidRDefault="000532F9">
      <w:pPr>
        <w:spacing w:after="0"/>
      </w:pPr>
      <w:r>
        <w:separator/>
      </w:r>
    </w:p>
  </w:footnote>
  <w:footnote w:type="continuationSeparator" w:id="0">
    <w:p w14:paraId="43944483" w14:textId="77777777" w:rsidR="000532F9" w:rsidRDefault="000532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7E8096" w14:textId="77777777" w:rsidR="004758B6" w:rsidRDefault="0000000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11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8A834E3"/>
    <w:multiLevelType w:val="multilevel"/>
    <w:tmpl w:val="08A834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1A59CD"/>
    <w:multiLevelType w:val="multilevel"/>
    <w:tmpl w:val="1F1A59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AB562B"/>
    <w:multiLevelType w:val="multilevel"/>
    <w:tmpl w:val="25AB56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73149EA"/>
    <w:multiLevelType w:val="multilevel"/>
    <w:tmpl w:val="273149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9DD1478"/>
    <w:multiLevelType w:val="multilevel"/>
    <w:tmpl w:val="39DD14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9" w15:restartNumberingAfterBreak="0">
    <w:nsid w:val="58B42BB2"/>
    <w:multiLevelType w:val="multilevel"/>
    <w:tmpl w:val="58B42BB2"/>
    <w:lvl w:ilvl="0">
      <w:start w:val="73"/>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5C16B47"/>
    <w:multiLevelType w:val="multilevel"/>
    <w:tmpl w:val="65C16B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26458976">
    <w:abstractNumId w:val="0"/>
  </w:num>
  <w:num w:numId="2" w16cid:durableId="1936401951">
    <w:abstractNumId w:val="5"/>
  </w:num>
  <w:num w:numId="3" w16cid:durableId="207425673">
    <w:abstractNumId w:val="7"/>
  </w:num>
  <w:num w:numId="4" w16cid:durableId="415788941">
    <w:abstractNumId w:val="8"/>
  </w:num>
  <w:num w:numId="5" w16cid:durableId="2053654376">
    <w:abstractNumId w:val="10"/>
  </w:num>
  <w:num w:numId="6" w16cid:durableId="1605385863">
    <w:abstractNumId w:val="4"/>
  </w:num>
  <w:num w:numId="7" w16cid:durableId="1664553029">
    <w:abstractNumId w:val="3"/>
  </w:num>
  <w:num w:numId="8" w16cid:durableId="837354194">
    <w:abstractNumId w:val="1"/>
  </w:num>
  <w:num w:numId="9" w16cid:durableId="2090928813">
    <w:abstractNumId w:val="2"/>
  </w:num>
  <w:num w:numId="10" w16cid:durableId="486168126">
    <w:abstractNumId w:val="11"/>
  </w:num>
  <w:num w:numId="11" w16cid:durableId="228611765">
    <w:abstractNumId w:val="6"/>
  </w:num>
  <w:num w:numId="12" w16cid:durableId="20307131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7B"/>
    <w:rsid w:val="000027D5"/>
    <w:rsid w:val="000028B2"/>
    <w:rsid w:val="00002A8E"/>
    <w:rsid w:val="00002BF1"/>
    <w:rsid w:val="00003131"/>
    <w:rsid w:val="00003227"/>
    <w:rsid w:val="000037BF"/>
    <w:rsid w:val="000037FB"/>
    <w:rsid w:val="00003AD9"/>
    <w:rsid w:val="00003D8C"/>
    <w:rsid w:val="00003EF4"/>
    <w:rsid w:val="00004022"/>
    <w:rsid w:val="0000403F"/>
    <w:rsid w:val="00004627"/>
    <w:rsid w:val="00004885"/>
    <w:rsid w:val="00004AA0"/>
    <w:rsid w:val="00004D8B"/>
    <w:rsid w:val="00004D8C"/>
    <w:rsid w:val="00004DCB"/>
    <w:rsid w:val="00005156"/>
    <w:rsid w:val="000051F0"/>
    <w:rsid w:val="0000533C"/>
    <w:rsid w:val="0000553B"/>
    <w:rsid w:val="00005555"/>
    <w:rsid w:val="0000585E"/>
    <w:rsid w:val="000058A5"/>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8B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621"/>
    <w:rsid w:val="00015BCB"/>
    <w:rsid w:val="00015CED"/>
    <w:rsid w:val="000160D3"/>
    <w:rsid w:val="000162B2"/>
    <w:rsid w:val="0001645D"/>
    <w:rsid w:val="000164BB"/>
    <w:rsid w:val="00016639"/>
    <w:rsid w:val="000167A6"/>
    <w:rsid w:val="00016DCE"/>
    <w:rsid w:val="00017309"/>
    <w:rsid w:val="000177C4"/>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84D"/>
    <w:rsid w:val="000233F4"/>
    <w:rsid w:val="00023818"/>
    <w:rsid w:val="00023C29"/>
    <w:rsid w:val="000242A0"/>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CD6"/>
    <w:rsid w:val="00046CE4"/>
    <w:rsid w:val="00046E6F"/>
    <w:rsid w:val="00046F9A"/>
    <w:rsid w:val="000472F3"/>
    <w:rsid w:val="0004743B"/>
    <w:rsid w:val="0004753F"/>
    <w:rsid w:val="000477BB"/>
    <w:rsid w:val="00047A82"/>
    <w:rsid w:val="00047B11"/>
    <w:rsid w:val="00050335"/>
    <w:rsid w:val="000503F7"/>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2F9"/>
    <w:rsid w:val="0005348C"/>
    <w:rsid w:val="00053849"/>
    <w:rsid w:val="00053A47"/>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252"/>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5D8"/>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D6"/>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0EFA"/>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B50"/>
    <w:rsid w:val="00086BFB"/>
    <w:rsid w:val="00086C4D"/>
    <w:rsid w:val="0008760B"/>
    <w:rsid w:val="0008782D"/>
    <w:rsid w:val="00087E29"/>
    <w:rsid w:val="00087E83"/>
    <w:rsid w:val="0009037D"/>
    <w:rsid w:val="00090394"/>
    <w:rsid w:val="00090573"/>
    <w:rsid w:val="0009069B"/>
    <w:rsid w:val="000906BF"/>
    <w:rsid w:val="000906DC"/>
    <w:rsid w:val="000906F7"/>
    <w:rsid w:val="00090779"/>
    <w:rsid w:val="00090CB5"/>
    <w:rsid w:val="00091753"/>
    <w:rsid w:val="00091F33"/>
    <w:rsid w:val="000921E3"/>
    <w:rsid w:val="00092629"/>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0"/>
    <w:rsid w:val="0009512D"/>
    <w:rsid w:val="000954C6"/>
    <w:rsid w:val="00095671"/>
    <w:rsid w:val="000956BC"/>
    <w:rsid w:val="00095788"/>
    <w:rsid w:val="000957FF"/>
    <w:rsid w:val="00095920"/>
    <w:rsid w:val="00095A24"/>
    <w:rsid w:val="00095F53"/>
    <w:rsid w:val="00096037"/>
    <w:rsid w:val="000960C9"/>
    <w:rsid w:val="00096220"/>
    <w:rsid w:val="0009653B"/>
    <w:rsid w:val="00096601"/>
    <w:rsid w:val="000968D8"/>
    <w:rsid w:val="00096E00"/>
    <w:rsid w:val="0009709B"/>
    <w:rsid w:val="000970D0"/>
    <w:rsid w:val="0009720E"/>
    <w:rsid w:val="0009725E"/>
    <w:rsid w:val="00097816"/>
    <w:rsid w:val="000979F0"/>
    <w:rsid w:val="00097AE8"/>
    <w:rsid w:val="000A011F"/>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B15"/>
    <w:rsid w:val="000B1CD3"/>
    <w:rsid w:val="000B256B"/>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8B3"/>
    <w:rsid w:val="000B49D7"/>
    <w:rsid w:val="000B532F"/>
    <w:rsid w:val="000B546F"/>
    <w:rsid w:val="000B567B"/>
    <w:rsid w:val="000B58DC"/>
    <w:rsid w:val="000B5C4C"/>
    <w:rsid w:val="000B5DF1"/>
    <w:rsid w:val="000B6030"/>
    <w:rsid w:val="000B60DA"/>
    <w:rsid w:val="000B62F0"/>
    <w:rsid w:val="000B65BE"/>
    <w:rsid w:val="000B680F"/>
    <w:rsid w:val="000B6AC9"/>
    <w:rsid w:val="000B6BDF"/>
    <w:rsid w:val="000B6C69"/>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D95"/>
    <w:rsid w:val="000C5E7D"/>
    <w:rsid w:val="000C673C"/>
    <w:rsid w:val="000C6942"/>
    <w:rsid w:val="000C69F8"/>
    <w:rsid w:val="000C6A01"/>
    <w:rsid w:val="000C6C00"/>
    <w:rsid w:val="000C6CD0"/>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59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826"/>
    <w:rsid w:val="000E4C9B"/>
    <w:rsid w:val="000E4D01"/>
    <w:rsid w:val="000E529E"/>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6F9"/>
    <w:rsid w:val="000E7F51"/>
    <w:rsid w:val="000F00D8"/>
    <w:rsid w:val="000F095B"/>
    <w:rsid w:val="000F0BB3"/>
    <w:rsid w:val="000F13C4"/>
    <w:rsid w:val="000F13D7"/>
    <w:rsid w:val="000F140C"/>
    <w:rsid w:val="000F16EF"/>
    <w:rsid w:val="000F17E4"/>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7CB"/>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863"/>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0A0"/>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0C60"/>
    <w:rsid w:val="00131683"/>
    <w:rsid w:val="0013181A"/>
    <w:rsid w:val="00131843"/>
    <w:rsid w:val="00131AC6"/>
    <w:rsid w:val="00131CCE"/>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748"/>
    <w:rsid w:val="00133928"/>
    <w:rsid w:val="00133A1F"/>
    <w:rsid w:val="00133E11"/>
    <w:rsid w:val="00133EBD"/>
    <w:rsid w:val="00134176"/>
    <w:rsid w:val="001341AE"/>
    <w:rsid w:val="0013425C"/>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5F3C"/>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890"/>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2AB"/>
    <w:rsid w:val="00170397"/>
    <w:rsid w:val="001703B3"/>
    <w:rsid w:val="00170482"/>
    <w:rsid w:val="001706E4"/>
    <w:rsid w:val="001706E7"/>
    <w:rsid w:val="001708D0"/>
    <w:rsid w:val="00170E05"/>
    <w:rsid w:val="00170E1B"/>
    <w:rsid w:val="0017121D"/>
    <w:rsid w:val="00171245"/>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2D08"/>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CD4"/>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42"/>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AE6"/>
    <w:rsid w:val="00184B11"/>
    <w:rsid w:val="00184DAB"/>
    <w:rsid w:val="00184DBF"/>
    <w:rsid w:val="00184F51"/>
    <w:rsid w:val="00185257"/>
    <w:rsid w:val="001858F6"/>
    <w:rsid w:val="00185E59"/>
    <w:rsid w:val="00185F10"/>
    <w:rsid w:val="00185F89"/>
    <w:rsid w:val="00185F95"/>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104"/>
    <w:rsid w:val="00193987"/>
    <w:rsid w:val="00194654"/>
    <w:rsid w:val="00194955"/>
    <w:rsid w:val="00194B46"/>
    <w:rsid w:val="00195447"/>
    <w:rsid w:val="001954AB"/>
    <w:rsid w:val="00195657"/>
    <w:rsid w:val="0019573B"/>
    <w:rsid w:val="00195839"/>
    <w:rsid w:val="0019592C"/>
    <w:rsid w:val="00195B8D"/>
    <w:rsid w:val="00195D36"/>
    <w:rsid w:val="00196085"/>
    <w:rsid w:val="001960EA"/>
    <w:rsid w:val="00196395"/>
    <w:rsid w:val="0019645B"/>
    <w:rsid w:val="001966E5"/>
    <w:rsid w:val="00196905"/>
    <w:rsid w:val="00196A81"/>
    <w:rsid w:val="00196B90"/>
    <w:rsid w:val="00196D8E"/>
    <w:rsid w:val="00196DE8"/>
    <w:rsid w:val="00196FF4"/>
    <w:rsid w:val="0019734F"/>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1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279"/>
    <w:rsid w:val="001B4371"/>
    <w:rsid w:val="001B471D"/>
    <w:rsid w:val="001B526A"/>
    <w:rsid w:val="001B5279"/>
    <w:rsid w:val="001B5332"/>
    <w:rsid w:val="001B54E9"/>
    <w:rsid w:val="001B55DE"/>
    <w:rsid w:val="001B6240"/>
    <w:rsid w:val="001B62AC"/>
    <w:rsid w:val="001B6351"/>
    <w:rsid w:val="001B70CF"/>
    <w:rsid w:val="001B7186"/>
    <w:rsid w:val="001B71FD"/>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E53"/>
    <w:rsid w:val="001C2025"/>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F88"/>
    <w:rsid w:val="001C5FD2"/>
    <w:rsid w:val="001C6182"/>
    <w:rsid w:val="001C619C"/>
    <w:rsid w:val="001C66D2"/>
    <w:rsid w:val="001C68E0"/>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D42"/>
    <w:rsid w:val="001D435D"/>
    <w:rsid w:val="001D43C0"/>
    <w:rsid w:val="001D448E"/>
    <w:rsid w:val="001D4969"/>
    <w:rsid w:val="001D4AF0"/>
    <w:rsid w:val="001D4E33"/>
    <w:rsid w:val="001D4EF8"/>
    <w:rsid w:val="001D4F24"/>
    <w:rsid w:val="001D506F"/>
    <w:rsid w:val="001D57BC"/>
    <w:rsid w:val="001D5835"/>
    <w:rsid w:val="001D5D88"/>
    <w:rsid w:val="001D66D2"/>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48D"/>
    <w:rsid w:val="001E251E"/>
    <w:rsid w:val="001E266E"/>
    <w:rsid w:val="001E27FB"/>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7F5"/>
    <w:rsid w:val="001F18E2"/>
    <w:rsid w:val="001F1B1E"/>
    <w:rsid w:val="001F1BEA"/>
    <w:rsid w:val="001F1DFA"/>
    <w:rsid w:val="001F1E26"/>
    <w:rsid w:val="001F1FFC"/>
    <w:rsid w:val="001F224E"/>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40C"/>
    <w:rsid w:val="001F56F2"/>
    <w:rsid w:val="001F599A"/>
    <w:rsid w:val="001F5C95"/>
    <w:rsid w:val="001F5C9E"/>
    <w:rsid w:val="001F5E73"/>
    <w:rsid w:val="001F5ED8"/>
    <w:rsid w:val="001F5F10"/>
    <w:rsid w:val="001F62FC"/>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2F7B"/>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419"/>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BF6"/>
    <w:rsid w:val="00206E5A"/>
    <w:rsid w:val="002073E8"/>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01"/>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2C4"/>
    <w:rsid w:val="00232782"/>
    <w:rsid w:val="002327FC"/>
    <w:rsid w:val="0023287C"/>
    <w:rsid w:val="00232E9D"/>
    <w:rsid w:val="00233074"/>
    <w:rsid w:val="002331A0"/>
    <w:rsid w:val="0023324F"/>
    <w:rsid w:val="002333B9"/>
    <w:rsid w:val="0023351A"/>
    <w:rsid w:val="00233849"/>
    <w:rsid w:val="00233BCD"/>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3E84"/>
    <w:rsid w:val="0024445A"/>
    <w:rsid w:val="00244563"/>
    <w:rsid w:val="00244606"/>
    <w:rsid w:val="00244924"/>
    <w:rsid w:val="002449F4"/>
    <w:rsid w:val="00244D58"/>
    <w:rsid w:val="00244FC4"/>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E4E"/>
    <w:rsid w:val="00256F02"/>
    <w:rsid w:val="002571C8"/>
    <w:rsid w:val="002572F1"/>
    <w:rsid w:val="0025744A"/>
    <w:rsid w:val="00257A62"/>
    <w:rsid w:val="00257EC4"/>
    <w:rsid w:val="00260156"/>
    <w:rsid w:val="00260713"/>
    <w:rsid w:val="0026075E"/>
    <w:rsid w:val="002608BD"/>
    <w:rsid w:val="00260ACE"/>
    <w:rsid w:val="00260B2A"/>
    <w:rsid w:val="00260C95"/>
    <w:rsid w:val="00260FAD"/>
    <w:rsid w:val="002617F6"/>
    <w:rsid w:val="00261D05"/>
    <w:rsid w:val="002621AD"/>
    <w:rsid w:val="002623AC"/>
    <w:rsid w:val="002626FA"/>
    <w:rsid w:val="00262979"/>
    <w:rsid w:val="00263038"/>
    <w:rsid w:val="00263148"/>
    <w:rsid w:val="002631DC"/>
    <w:rsid w:val="0026362F"/>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A72"/>
    <w:rsid w:val="00267CFE"/>
    <w:rsid w:val="00270619"/>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6E"/>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C53"/>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37B"/>
    <w:rsid w:val="0028550D"/>
    <w:rsid w:val="00285520"/>
    <w:rsid w:val="00285894"/>
    <w:rsid w:val="00285A72"/>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53"/>
    <w:rsid w:val="002A0581"/>
    <w:rsid w:val="002A05EF"/>
    <w:rsid w:val="002A061B"/>
    <w:rsid w:val="002A0724"/>
    <w:rsid w:val="002A08CD"/>
    <w:rsid w:val="002A0915"/>
    <w:rsid w:val="002A093B"/>
    <w:rsid w:val="002A0BEE"/>
    <w:rsid w:val="002A1074"/>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113"/>
    <w:rsid w:val="002A523D"/>
    <w:rsid w:val="002A524D"/>
    <w:rsid w:val="002A530F"/>
    <w:rsid w:val="002A5D2C"/>
    <w:rsid w:val="002A5D59"/>
    <w:rsid w:val="002A5FC1"/>
    <w:rsid w:val="002A63A7"/>
    <w:rsid w:val="002A6783"/>
    <w:rsid w:val="002A6A0E"/>
    <w:rsid w:val="002A6ADC"/>
    <w:rsid w:val="002A6E8B"/>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AF6"/>
    <w:rsid w:val="002C54AD"/>
    <w:rsid w:val="002C5533"/>
    <w:rsid w:val="002C5620"/>
    <w:rsid w:val="002C5842"/>
    <w:rsid w:val="002C5A6B"/>
    <w:rsid w:val="002C5A72"/>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66"/>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5D2"/>
    <w:rsid w:val="002E2738"/>
    <w:rsid w:val="002E281B"/>
    <w:rsid w:val="002E2923"/>
    <w:rsid w:val="002E2A76"/>
    <w:rsid w:val="002E2D20"/>
    <w:rsid w:val="002E306D"/>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69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22"/>
    <w:rsid w:val="00300CCD"/>
    <w:rsid w:val="00300E5F"/>
    <w:rsid w:val="00300F09"/>
    <w:rsid w:val="00301023"/>
    <w:rsid w:val="003011C0"/>
    <w:rsid w:val="00301686"/>
    <w:rsid w:val="0030197B"/>
    <w:rsid w:val="00301DA6"/>
    <w:rsid w:val="00301E07"/>
    <w:rsid w:val="00301EE4"/>
    <w:rsid w:val="00301FBA"/>
    <w:rsid w:val="00302203"/>
    <w:rsid w:val="003024DE"/>
    <w:rsid w:val="00302546"/>
    <w:rsid w:val="00302701"/>
    <w:rsid w:val="00302739"/>
    <w:rsid w:val="0030294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3A1"/>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65"/>
    <w:rsid w:val="00316484"/>
    <w:rsid w:val="00316A1A"/>
    <w:rsid w:val="00316B5B"/>
    <w:rsid w:val="00316C58"/>
    <w:rsid w:val="00316C89"/>
    <w:rsid w:val="00316D2D"/>
    <w:rsid w:val="00316EAE"/>
    <w:rsid w:val="00316F2A"/>
    <w:rsid w:val="00317050"/>
    <w:rsid w:val="00317625"/>
    <w:rsid w:val="0031767A"/>
    <w:rsid w:val="00317731"/>
    <w:rsid w:val="00317781"/>
    <w:rsid w:val="00317C5E"/>
    <w:rsid w:val="0032013F"/>
    <w:rsid w:val="0032018E"/>
    <w:rsid w:val="00320523"/>
    <w:rsid w:val="00320844"/>
    <w:rsid w:val="00320B1B"/>
    <w:rsid w:val="00320C3F"/>
    <w:rsid w:val="00320D7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17"/>
    <w:rsid w:val="0034246D"/>
    <w:rsid w:val="00342528"/>
    <w:rsid w:val="00342A54"/>
    <w:rsid w:val="00342BFA"/>
    <w:rsid w:val="00342CD9"/>
    <w:rsid w:val="0034305B"/>
    <w:rsid w:val="00343C24"/>
    <w:rsid w:val="00343FA6"/>
    <w:rsid w:val="003446D1"/>
    <w:rsid w:val="00344725"/>
    <w:rsid w:val="00344901"/>
    <w:rsid w:val="00344DE0"/>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25"/>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3D5"/>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A4"/>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6D3E"/>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397"/>
    <w:rsid w:val="003773CD"/>
    <w:rsid w:val="0037757C"/>
    <w:rsid w:val="003775BD"/>
    <w:rsid w:val="00377C7B"/>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CB"/>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AD0"/>
    <w:rsid w:val="003A2BCC"/>
    <w:rsid w:val="003A2D39"/>
    <w:rsid w:val="003A2FE7"/>
    <w:rsid w:val="003A349E"/>
    <w:rsid w:val="003A38AC"/>
    <w:rsid w:val="003A39F2"/>
    <w:rsid w:val="003A3C0E"/>
    <w:rsid w:val="003A421C"/>
    <w:rsid w:val="003A42BB"/>
    <w:rsid w:val="003A44AA"/>
    <w:rsid w:val="003A45FB"/>
    <w:rsid w:val="003A48FC"/>
    <w:rsid w:val="003A4E82"/>
    <w:rsid w:val="003A523B"/>
    <w:rsid w:val="003A53CB"/>
    <w:rsid w:val="003A55F0"/>
    <w:rsid w:val="003A5865"/>
    <w:rsid w:val="003A58C4"/>
    <w:rsid w:val="003A590E"/>
    <w:rsid w:val="003A5A57"/>
    <w:rsid w:val="003A6274"/>
    <w:rsid w:val="003A62E1"/>
    <w:rsid w:val="003A6330"/>
    <w:rsid w:val="003A6439"/>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D6E"/>
    <w:rsid w:val="003B20BD"/>
    <w:rsid w:val="003B248F"/>
    <w:rsid w:val="003B25B8"/>
    <w:rsid w:val="003B2B79"/>
    <w:rsid w:val="003B2C70"/>
    <w:rsid w:val="003B3171"/>
    <w:rsid w:val="003B3835"/>
    <w:rsid w:val="003B387A"/>
    <w:rsid w:val="003B3E56"/>
    <w:rsid w:val="003B4039"/>
    <w:rsid w:val="003B411A"/>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B7CA0"/>
    <w:rsid w:val="003C009A"/>
    <w:rsid w:val="003C03B0"/>
    <w:rsid w:val="003C04C2"/>
    <w:rsid w:val="003C04C6"/>
    <w:rsid w:val="003C07D7"/>
    <w:rsid w:val="003C0985"/>
    <w:rsid w:val="003C09EB"/>
    <w:rsid w:val="003C0D5D"/>
    <w:rsid w:val="003C10B8"/>
    <w:rsid w:val="003C182B"/>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A13"/>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C7EC7"/>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2AC"/>
    <w:rsid w:val="003D2339"/>
    <w:rsid w:val="003D26AA"/>
    <w:rsid w:val="003D2AC3"/>
    <w:rsid w:val="003D2AF9"/>
    <w:rsid w:val="003D2D07"/>
    <w:rsid w:val="003D2E43"/>
    <w:rsid w:val="003D31C8"/>
    <w:rsid w:val="003D3AD8"/>
    <w:rsid w:val="003D3BA5"/>
    <w:rsid w:val="003D3EE3"/>
    <w:rsid w:val="003D4350"/>
    <w:rsid w:val="003D4409"/>
    <w:rsid w:val="003D4BB3"/>
    <w:rsid w:val="003D4F35"/>
    <w:rsid w:val="003D5149"/>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624F"/>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E06"/>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DF4"/>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2F09"/>
    <w:rsid w:val="00413369"/>
    <w:rsid w:val="004134FE"/>
    <w:rsid w:val="00413F76"/>
    <w:rsid w:val="00413FED"/>
    <w:rsid w:val="004145AE"/>
    <w:rsid w:val="00414790"/>
    <w:rsid w:val="004147F4"/>
    <w:rsid w:val="00414A90"/>
    <w:rsid w:val="00414C3F"/>
    <w:rsid w:val="00414FE3"/>
    <w:rsid w:val="0041522E"/>
    <w:rsid w:val="0041539C"/>
    <w:rsid w:val="0041577E"/>
    <w:rsid w:val="004157F6"/>
    <w:rsid w:val="004159C8"/>
    <w:rsid w:val="004159D3"/>
    <w:rsid w:val="00415A14"/>
    <w:rsid w:val="00415A88"/>
    <w:rsid w:val="00415C4D"/>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07C"/>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35"/>
    <w:rsid w:val="00436696"/>
    <w:rsid w:val="004366E4"/>
    <w:rsid w:val="004368DC"/>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8FE"/>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337"/>
    <w:rsid w:val="0046342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D9D"/>
    <w:rsid w:val="00465EB3"/>
    <w:rsid w:val="004663D3"/>
    <w:rsid w:val="00466A43"/>
    <w:rsid w:val="00466E99"/>
    <w:rsid w:val="00466FCE"/>
    <w:rsid w:val="004670AB"/>
    <w:rsid w:val="004671F9"/>
    <w:rsid w:val="0046722B"/>
    <w:rsid w:val="00467887"/>
    <w:rsid w:val="00470389"/>
    <w:rsid w:val="0047041E"/>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E8"/>
    <w:rsid w:val="00473779"/>
    <w:rsid w:val="004737D3"/>
    <w:rsid w:val="0047392B"/>
    <w:rsid w:val="00473F5F"/>
    <w:rsid w:val="0047410D"/>
    <w:rsid w:val="0047475B"/>
    <w:rsid w:val="00474984"/>
    <w:rsid w:val="00475226"/>
    <w:rsid w:val="00475260"/>
    <w:rsid w:val="0047539C"/>
    <w:rsid w:val="004753D8"/>
    <w:rsid w:val="0047545B"/>
    <w:rsid w:val="004755D5"/>
    <w:rsid w:val="00475674"/>
    <w:rsid w:val="004758B6"/>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6F1"/>
    <w:rsid w:val="004867B7"/>
    <w:rsid w:val="004869B5"/>
    <w:rsid w:val="004869ED"/>
    <w:rsid w:val="00486A2F"/>
    <w:rsid w:val="00486CD4"/>
    <w:rsid w:val="00486D6B"/>
    <w:rsid w:val="00487100"/>
    <w:rsid w:val="00487117"/>
    <w:rsid w:val="00487866"/>
    <w:rsid w:val="00487C4E"/>
    <w:rsid w:val="00487F28"/>
    <w:rsid w:val="00490185"/>
    <w:rsid w:val="00490200"/>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7C1"/>
    <w:rsid w:val="004938AA"/>
    <w:rsid w:val="00493ADE"/>
    <w:rsid w:val="00493D08"/>
    <w:rsid w:val="004944EB"/>
    <w:rsid w:val="004949D8"/>
    <w:rsid w:val="00494CB2"/>
    <w:rsid w:val="00494E75"/>
    <w:rsid w:val="00495071"/>
    <w:rsid w:val="0049552C"/>
    <w:rsid w:val="00495B63"/>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311"/>
    <w:rsid w:val="004B759F"/>
    <w:rsid w:val="004B78B9"/>
    <w:rsid w:val="004B795F"/>
    <w:rsid w:val="004B7BA5"/>
    <w:rsid w:val="004B7E04"/>
    <w:rsid w:val="004B7FB3"/>
    <w:rsid w:val="004C008B"/>
    <w:rsid w:val="004C033E"/>
    <w:rsid w:val="004C0346"/>
    <w:rsid w:val="004C043E"/>
    <w:rsid w:val="004C0525"/>
    <w:rsid w:val="004C0535"/>
    <w:rsid w:val="004C06D2"/>
    <w:rsid w:val="004C08A0"/>
    <w:rsid w:val="004C0A5B"/>
    <w:rsid w:val="004C0B5B"/>
    <w:rsid w:val="004C0B9A"/>
    <w:rsid w:val="004C0C5C"/>
    <w:rsid w:val="004C0F99"/>
    <w:rsid w:val="004C1027"/>
    <w:rsid w:val="004C122B"/>
    <w:rsid w:val="004C130D"/>
    <w:rsid w:val="004C1624"/>
    <w:rsid w:val="004C19E4"/>
    <w:rsid w:val="004C1FE1"/>
    <w:rsid w:val="004C2371"/>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26"/>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6DD"/>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CA7"/>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D1F"/>
    <w:rsid w:val="00503FAD"/>
    <w:rsid w:val="00504070"/>
    <w:rsid w:val="005043F0"/>
    <w:rsid w:val="00504639"/>
    <w:rsid w:val="00504757"/>
    <w:rsid w:val="00504776"/>
    <w:rsid w:val="00504BF5"/>
    <w:rsid w:val="00504C77"/>
    <w:rsid w:val="00504CBB"/>
    <w:rsid w:val="00504D9B"/>
    <w:rsid w:val="00504F81"/>
    <w:rsid w:val="005051DA"/>
    <w:rsid w:val="005053A3"/>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53C"/>
    <w:rsid w:val="00511599"/>
    <w:rsid w:val="005119D6"/>
    <w:rsid w:val="00511E67"/>
    <w:rsid w:val="00512747"/>
    <w:rsid w:val="00512A7B"/>
    <w:rsid w:val="00512CBE"/>
    <w:rsid w:val="00512D39"/>
    <w:rsid w:val="0051301F"/>
    <w:rsid w:val="0051375D"/>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DE3"/>
    <w:rsid w:val="005221A4"/>
    <w:rsid w:val="0052301B"/>
    <w:rsid w:val="00523366"/>
    <w:rsid w:val="00523483"/>
    <w:rsid w:val="005235BC"/>
    <w:rsid w:val="00523663"/>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974"/>
    <w:rsid w:val="00525F71"/>
    <w:rsid w:val="00525FE3"/>
    <w:rsid w:val="005261BC"/>
    <w:rsid w:val="00526270"/>
    <w:rsid w:val="00526874"/>
    <w:rsid w:val="0052693D"/>
    <w:rsid w:val="005269C2"/>
    <w:rsid w:val="00526A5E"/>
    <w:rsid w:val="00526C8A"/>
    <w:rsid w:val="00526D98"/>
    <w:rsid w:val="00526FA0"/>
    <w:rsid w:val="00527298"/>
    <w:rsid w:val="005272A8"/>
    <w:rsid w:val="00527489"/>
    <w:rsid w:val="0052761A"/>
    <w:rsid w:val="00527621"/>
    <w:rsid w:val="00527860"/>
    <w:rsid w:val="00527A20"/>
    <w:rsid w:val="00527A58"/>
    <w:rsid w:val="0053012B"/>
    <w:rsid w:val="00530577"/>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24A"/>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A4F"/>
    <w:rsid w:val="00535B60"/>
    <w:rsid w:val="00535F5B"/>
    <w:rsid w:val="00536065"/>
    <w:rsid w:val="00536066"/>
    <w:rsid w:val="005367DE"/>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B13"/>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52C0"/>
    <w:rsid w:val="005453BA"/>
    <w:rsid w:val="0054556F"/>
    <w:rsid w:val="005456AD"/>
    <w:rsid w:val="00545B46"/>
    <w:rsid w:val="00545C3D"/>
    <w:rsid w:val="00545E6A"/>
    <w:rsid w:val="00545EBA"/>
    <w:rsid w:val="00546083"/>
    <w:rsid w:val="00546310"/>
    <w:rsid w:val="005466C6"/>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DB5"/>
    <w:rsid w:val="00547F14"/>
    <w:rsid w:val="0055035E"/>
    <w:rsid w:val="0055049D"/>
    <w:rsid w:val="005507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69C"/>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1B5"/>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7BE"/>
    <w:rsid w:val="00566C24"/>
    <w:rsid w:val="00567191"/>
    <w:rsid w:val="0056719E"/>
    <w:rsid w:val="005672C6"/>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BDA"/>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6013"/>
    <w:rsid w:val="0058628A"/>
    <w:rsid w:val="00586B34"/>
    <w:rsid w:val="00587117"/>
    <w:rsid w:val="00587586"/>
    <w:rsid w:val="0058759B"/>
    <w:rsid w:val="0058764D"/>
    <w:rsid w:val="0058784F"/>
    <w:rsid w:val="00587882"/>
    <w:rsid w:val="00587AF2"/>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23A"/>
    <w:rsid w:val="00593447"/>
    <w:rsid w:val="005936A9"/>
    <w:rsid w:val="005936FC"/>
    <w:rsid w:val="005937D1"/>
    <w:rsid w:val="00593832"/>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6B"/>
    <w:rsid w:val="00595DA2"/>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04C"/>
    <w:rsid w:val="005A2229"/>
    <w:rsid w:val="005A23BE"/>
    <w:rsid w:val="005A2490"/>
    <w:rsid w:val="005A320D"/>
    <w:rsid w:val="005A36DF"/>
    <w:rsid w:val="005A36E3"/>
    <w:rsid w:val="005A386D"/>
    <w:rsid w:val="005A3A31"/>
    <w:rsid w:val="005A3B41"/>
    <w:rsid w:val="005A3DF2"/>
    <w:rsid w:val="005A416C"/>
    <w:rsid w:val="005A4A53"/>
    <w:rsid w:val="005A4B5B"/>
    <w:rsid w:val="005A4B96"/>
    <w:rsid w:val="005A4BB0"/>
    <w:rsid w:val="005A4E93"/>
    <w:rsid w:val="005A5113"/>
    <w:rsid w:val="005A588D"/>
    <w:rsid w:val="005A59CF"/>
    <w:rsid w:val="005A5E7D"/>
    <w:rsid w:val="005A60F0"/>
    <w:rsid w:val="005A6223"/>
    <w:rsid w:val="005A69FD"/>
    <w:rsid w:val="005A6A3A"/>
    <w:rsid w:val="005A6B52"/>
    <w:rsid w:val="005A6C4A"/>
    <w:rsid w:val="005A6CBF"/>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B7BDE"/>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5C4"/>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B1"/>
    <w:rsid w:val="005D18E0"/>
    <w:rsid w:val="005D20FC"/>
    <w:rsid w:val="005D2462"/>
    <w:rsid w:val="005D24A2"/>
    <w:rsid w:val="005D25D7"/>
    <w:rsid w:val="005D26EA"/>
    <w:rsid w:val="005D282C"/>
    <w:rsid w:val="005D2A49"/>
    <w:rsid w:val="005D2B5C"/>
    <w:rsid w:val="005D2C7B"/>
    <w:rsid w:val="005D2CB0"/>
    <w:rsid w:val="005D2EE8"/>
    <w:rsid w:val="005D3534"/>
    <w:rsid w:val="005D35B5"/>
    <w:rsid w:val="005D3707"/>
    <w:rsid w:val="005D382F"/>
    <w:rsid w:val="005D3919"/>
    <w:rsid w:val="005D3AF0"/>
    <w:rsid w:val="005D3B95"/>
    <w:rsid w:val="005D3BFD"/>
    <w:rsid w:val="005D42E6"/>
    <w:rsid w:val="005D439A"/>
    <w:rsid w:val="005D46E9"/>
    <w:rsid w:val="005D4703"/>
    <w:rsid w:val="005D4F0B"/>
    <w:rsid w:val="005D4F30"/>
    <w:rsid w:val="005D5012"/>
    <w:rsid w:val="005D50ED"/>
    <w:rsid w:val="005D549F"/>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9A0"/>
    <w:rsid w:val="005D7E04"/>
    <w:rsid w:val="005E0082"/>
    <w:rsid w:val="005E046A"/>
    <w:rsid w:val="005E06E1"/>
    <w:rsid w:val="005E0899"/>
    <w:rsid w:val="005E0F31"/>
    <w:rsid w:val="005E106F"/>
    <w:rsid w:val="005E1393"/>
    <w:rsid w:val="005E1411"/>
    <w:rsid w:val="005E154C"/>
    <w:rsid w:val="005E1585"/>
    <w:rsid w:val="005E15B3"/>
    <w:rsid w:val="005E194D"/>
    <w:rsid w:val="005E241C"/>
    <w:rsid w:val="005E25C8"/>
    <w:rsid w:val="005E2853"/>
    <w:rsid w:val="005E3035"/>
    <w:rsid w:val="005E30B1"/>
    <w:rsid w:val="005E35FD"/>
    <w:rsid w:val="005E36BA"/>
    <w:rsid w:val="005E383F"/>
    <w:rsid w:val="005E3B77"/>
    <w:rsid w:val="005E3F0E"/>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2DA5"/>
    <w:rsid w:val="0060305B"/>
    <w:rsid w:val="006031E6"/>
    <w:rsid w:val="00603470"/>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AFB"/>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67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AF7"/>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83D"/>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C7F"/>
    <w:rsid w:val="00651FA0"/>
    <w:rsid w:val="0065208F"/>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A3"/>
    <w:rsid w:val="00655C7E"/>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2C"/>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4A"/>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0F"/>
    <w:rsid w:val="00686A14"/>
    <w:rsid w:val="00686DF3"/>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839"/>
    <w:rsid w:val="0069397F"/>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88C"/>
    <w:rsid w:val="006A3B30"/>
    <w:rsid w:val="006A3DA9"/>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6EBA"/>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8B9"/>
    <w:rsid w:val="006C1944"/>
    <w:rsid w:val="006C1A29"/>
    <w:rsid w:val="006C1B3F"/>
    <w:rsid w:val="006C1F77"/>
    <w:rsid w:val="006C22BD"/>
    <w:rsid w:val="006C25BF"/>
    <w:rsid w:val="006C2604"/>
    <w:rsid w:val="006C2EA1"/>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FF1"/>
    <w:rsid w:val="006C6287"/>
    <w:rsid w:val="006C671A"/>
    <w:rsid w:val="006C677C"/>
    <w:rsid w:val="006C69DD"/>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7F6"/>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10"/>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4D3D"/>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92"/>
    <w:rsid w:val="006F7B41"/>
    <w:rsid w:val="006F7E42"/>
    <w:rsid w:val="00700042"/>
    <w:rsid w:val="007000F2"/>
    <w:rsid w:val="0070013F"/>
    <w:rsid w:val="007001EA"/>
    <w:rsid w:val="0070023A"/>
    <w:rsid w:val="0070063F"/>
    <w:rsid w:val="00700784"/>
    <w:rsid w:val="0070078C"/>
    <w:rsid w:val="00700953"/>
    <w:rsid w:val="00700BF8"/>
    <w:rsid w:val="0070109F"/>
    <w:rsid w:val="0070118F"/>
    <w:rsid w:val="0070124B"/>
    <w:rsid w:val="007017EA"/>
    <w:rsid w:val="0070181F"/>
    <w:rsid w:val="0070193E"/>
    <w:rsid w:val="00701986"/>
    <w:rsid w:val="00701B27"/>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EB"/>
    <w:rsid w:val="00706ED0"/>
    <w:rsid w:val="0070725C"/>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CD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CB8"/>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498B"/>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35"/>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1E1"/>
    <w:rsid w:val="0074544C"/>
    <w:rsid w:val="0074576E"/>
    <w:rsid w:val="007458E7"/>
    <w:rsid w:val="00745CF2"/>
    <w:rsid w:val="00745EBB"/>
    <w:rsid w:val="00745F3D"/>
    <w:rsid w:val="00746167"/>
    <w:rsid w:val="00746199"/>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DF6"/>
    <w:rsid w:val="00751F76"/>
    <w:rsid w:val="00752063"/>
    <w:rsid w:val="00752497"/>
    <w:rsid w:val="007524E1"/>
    <w:rsid w:val="007524E2"/>
    <w:rsid w:val="00752FE7"/>
    <w:rsid w:val="0075305D"/>
    <w:rsid w:val="007530EF"/>
    <w:rsid w:val="007538E8"/>
    <w:rsid w:val="00753D66"/>
    <w:rsid w:val="00753E6E"/>
    <w:rsid w:val="00753F01"/>
    <w:rsid w:val="00753F6E"/>
    <w:rsid w:val="00753FDF"/>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D8"/>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070"/>
    <w:rsid w:val="007644EE"/>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2C5"/>
    <w:rsid w:val="007702CA"/>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3C4"/>
    <w:rsid w:val="0077340D"/>
    <w:rsid w:val="0077347F"/>
    <w:rsid w:val="007739C9"/>
    <w:rsid w:val="00773EC7"/>
    <w:rsid w:val="0077407A"/>
    <w:rsid w:val="00774086"/>
    <w:rsid w:val="007743A1"/>
    <w:rsid w:val="007744EF"/>
    <w:rsid w:val="00775583"/>
    <w:rsid w:val="0077594F"/>
    <w:rsid w:val="0077598E"/>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4B9F"/>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83"/>
    <w:rsid w:val="007A711E"/>
    <w:rsid w:val="007A7228"/>
    <w:rsid w:val="007A7273"/>
    <w:rsid w:val="007A75A3"/>
    <w:rsid w:val="007A7AD5"/>
    <w:rsid w:val="007A7DB8"/>
    <w:rsid w:val="007A7DD9"/>
    <w:rsid w:val="007A7E07"/>
    <w:rsid w:val="007B0109"/>
    <w:rsid w:val="007B0176"/>
    <w:rsid w:val="007B0253"/>
    <w:rsid w:val="007B0490"/>
    <w:rsid w:val="007B0720"/>
    <w:rsid w:val="007B073B"/>
    <w:rsid w:val="007B09D2"/>
    <w:rsid w:val="007B0B74"/>
    <w:rsid w:val="007B0CB5"/>
    <w:rsid w:val="007B0F66"/>
    <w:rsid w:val="007B1061"/>
    <w:rsid w:val="007B1DA7"/>
    <w:rsid w:val="007B1F9A"/>
    <w:rsid w:val="007B2074"/>
    <w:rsid w:val="007B2321"/>
    <w:rsid w:val="007B2638"/>
    <w:rsid w:val="007B2BB1"/>
    <w:rsid w:val="007B2C43"/>
    <w:rsid w:val="007B339C"/>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177"/>
    <w:rsid w:val="007B77FB"/>
    <w:rsid w:val="007B7976"/>
    <w:rsid w:val="007B7C15"/>
    <w:rsid w:val="007B7D58"/>
    <w:rsid w:val="007B7E59"/>
    <w:rsid w:val="007C05EA"/>
    <w:rsid w:val="007C0718"/>
    <w:rsid w:val="007C0871"/>
    <w:rsid w:val="007C0880"/>
    <w:rsid w:val="007C0AE5"/>
    <w:rsid w:val="007C0AE9"/>
    <w:rsid w:val="007C0B22"/>
    <w:rsid w:val="007C0BD2"/>
    <w:rsid w:val="007C0F3A"/>
    <w:rsid w:val="007C0F64"/>
    <w:rsid w:val="007C0FA1"/>
    <w:rsid w:val="007C1065"/>
    <w:rsid w:val="007C107C"/>
    <w:rsid w:val="007C12A9"/>
    <w:rsid w:val="007C12F2"/>
    <w:rsid w:val="007C1328"/>
    <w:rsid w:val="007C14BD"/>
    <w:rsid w:val="007C1537"/>
    <w:rsid w:val="007C185C"/>
    <w:rsid w:val="007C198E"/>
    <w:rsid w:val="007C1B94"/>
    <w:rsid w:val="007C1CB9"/>
    <w:rsid w:val="007C1DFC"/>
    <w:rsid w:val="007C26FF"/>
    <w:rsid w:val="007C2A39"/>
    <w:rsid w:val="007C2AAF"/>
    <w:rsid w:val="007C3006"/>
    <w:rsid w:val="007C301B"/>
    <w:rsid w:val="007C3045"/>
    <w:rsid w:val="007C37C7"/>
    <w:rsid w:val="007C3C91"/>
    <w:rsid w:val="007C3D88"/>
    <w:rsid w:val="007C3E3E"/>
    <w:rsid w:val="007C3EE5"/>
    <w:rsid w:val="007C3F14"/>
    <w:rsid w:val="007C450E"/>
    <w:rsid w:val="007C459F"/>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6AA"/>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45F"/>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5BC"/>
    <w:rsid w:val="007E2B64"/>
    <w:rsid w:val="007E2B9D"/>
    <w:rsid w:val="007E3182"/>
    <w:rsid w:val="007E36C4"/>
    <w:rsid w:val="007E36F8"/>
    <w:rsid w:val="007E38B2"/>
    <w:rsid w:val="007E3937"/>
    <w:rsid w:val="007E398D"/>
    <w:rsid w:val="007E41C5"/>
    <w:rsid w:val="007E42F2"/>
    <w:rsid w:val="007E4803"/>
    <w:rsid w:val="007E48CD"/>
    <w:rsid w:val="007E48E4"/>
    <w:rsid w:val="007E4C9E"/>
    <w:rsid w:val="007E4FCD"/>
    <w:rsid w:val="007E51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7C8"/>
    <w:rsid w:val="007E7A60"/>
    <w:rsid w:val="007E7B2B"/>
    <w:rsid w:val="007E7C00"/>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3CF"/>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501"/>
    <w:rsid w:val="00814B38"/>
    <w:rsid w:val="00814B65"/>
    <w:rsid w:val="00814BD6"/>
    <w:rsid w:val="00814D2B"/>
    <w:rsid w:val="00815076"/>
    <w:rsid w:val="0081529F"/>
    <w:rsid w:val="008153F0"/>
    <w:rsid w:val="008154B6"/>
    <w:rsid w:val="008155E8"/>
    <w:rsid w:val="00815706"/>
    <w:rsid w:val="00815D64"/>
    <w:rsid w:val="00815F20"/>
    <w:rsid w:val="00815F93"/>
    <w:rsid w:val="00816292"/>
    <w:rsid w:val="00816791"/>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069"/>
    <w:rsid w:val="008231D6"/>
    <w:rsid w:val="00823335"/>
    <w:rsid w:val="008235E4"/>
    <w:rsid w:val="008236AE"/>
    <w:rsid w:val="008237B2"/>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5F5"/>
    <w:rsid w:val="008348BC"/>
    <w:rsid w:val="008349E7"/>
    <w:rsid w:val="00834BF0"/>
    <w:rsid w:val="00834FBF"/>
    <w:rsid w:val="0083502E"/>
    <w:rsid w:val="008350E9"/>
    <w:rsid w:val="00835634"/>
    <w:rsid w:val="008357ED"/>
    <w:rsid w:val="00835AE4"/>
    <w:rsid w:val="00835B82"/>
    <w:rsid w:val="00835D16"/>
    <w:rsid w:val="00835E69"/>
    <w:rsid w:val="00835F1B"/>
    <w:rsid w:val="00836133"/>
    <w:rsid w:val="008362A3"/>
    <w:rsid w:val="0083657B"/>
    <w:rsid w:val="00836687"/>
    <w:rsid w:val="00836769"/>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A4D"/>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C38"/>
    <w:rsid w:val="00853C45"/>
    <w:rsid w:val="00854090"/>
    <w:rsid w:val="008540C8"/>
    <w:rsid w:val="0085412F"/>
    <w:rsid w:val="00854174"/>
    <w:rsid w:val="0085429E"/>
    <w:rsid w:val="00854983"/>
    <w:rsid w:val="00854A91"/>
    <w:rsid w:val="00854C62"/>
    <w:rsid w:val="00854E0E"/>
    <w:rsid w:val="0085508E"/>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84B"/>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0CA"/>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632"/>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CA7"/>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63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111"/>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1E19"/>
    <w:rsid w:val="008B2052"/>
    <w:rsid w:val="008B21F5"/>
    <w:rsid w:val="008B23E2"/>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80"/>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883"/>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1E5"/>
    <w:rsid w:val="008E354D"/>
    <w:rsid w:val="008E378A"/>
    <w:rsid w:val="008E3F52"/>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D8"/>
    <w:rsid w:val="008F2A8C"/>
    <w:rsid w:val="008F2ADD"/>
    <w:rsid w:val="008F2F61"/>
    <w:rsid w:val="008F3069"/>
    <w:rsid w:val="008F35F6"/>
    <w:rsid w:val="008F39A7"/>
    <w:rsid w:val="008F3B64"/>
    <w:rsid w:val="008F3D2D"/>
    <w:rsid w:val="008F3D7C"/>
    <w:rsid w:val="008F3DC9"/>
    <w:rsid w:val="008F4107"/>
    <w:rsid w:val="008F41BB"/>
    <w:rsid w:val="008F49C5"/>
    <w:rsid w:val="008F4B0A"/>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6A7"/>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2E18"/>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08"/>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19"/>
    <w:rsid w:val="00940FB5"/>
    <w:rsid w:val="00941259"/>
    <w:rsid w:val="0094148B"/>
    <w:rsid w:val="00941813"/>
    <w:rsid w:val="00941A1C"/>
    <w:rsid w:val="00941B97"/>
    <w:rsid w:val="00942199"/>
    <w:rsid w:val="009421B3"/>
    <w:rsid w:val="009426A8"/>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8D7"/>
    <w:rsid w:val="00961A61"/>
    <w:rsid w:val="00961E43"/>
    <w:rsid w:val="00961E6D"/>
    <w:rsid w:val="00961F21"/>
    <w:rsid w:val="009621FF"/>
    <w:rsid w:val="00962399"/>
    <w:rsid w:val="00962A9E"/>
    <w:rsid w:val="00962E1F"/>
    <w:rsid w:val="00963099"/>
    <w:rsid w:val="0096317E"/>
    <w:rsid w:val="009631FC"/>
    <w:rsid w:val="0096392B"/>
    <w:rsid w:val="0096397B"/>
    <w:rsid w:val="00964732"/>
    <w:rsid w:val="009649D2"/>
    <w:rsid w:val="00964CA9"/>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2F"/>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BA2"/>
    <w:rsid w:val="00985CA4"/>
    <w:rsid w:val="00986100"/>
    <w:rsid w:val="00986775"/>
    <w:rsid w:val="00986956"/>
    <w:rsid w:val="00986B31"/>
    <w:rsid w:val="00987354"/>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C2"/>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12"/>
    <w:rsid w:val="00996CD4"/>
    <w:rsid w:val="00996D67"/>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793"/>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588C"/>
    <w:rsid w:val="009B6685"/>
    <w:rsid w:val="009B67BC"/>
    <w:rsid w:val="009B6A59"/>
    <w:rsid w:val="009B6E76"/>
    <w:rsid w:val="009B70E9"/>
    <w:rsid w:val="009B72C2"/>
    <w:rsid w:val="009B7304"/>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B74"/>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0D"/>
    <w:rsid w:val="00A07065"/>
    <w:rsid w:val="00A0724E"/>
    <w:rsid w:val="00A072A2"/>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7E2"/>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699"/>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BC0"/>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5FD0"/>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B04"/>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CA9"/>
    <w:rsid w:val="00A53EA5"/>
    <w:rsid w:val="00A5420F"/>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6EBE"/>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080"/>
    <w:rsid w:val="00A7634B"/>
    <w:rsid w:val="00A764B9"/>
    <w:rsid w:val="00A76696"/>
    <w:rsid w:val="00A76794"/>
    <w:rsid w:val="00A7687A"/>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1FE0"/>
    <w:rsid w:val="00A82029"/>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2CB"/>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86"/>
    <w:rsid w:val="00AD02D6"/>
    <w:rsid w:val="00AD070F"/>
    <w:rsid w:val="00AD0C17"/>
    <w:rsid w:val="00AD0D23"/>
    <w:rsid w:val="00AD12BD"/>
    <w:rsid w:val="00AD163D"/>
    <w:rsid w:val="00AD1860"/>
    <w:rsid w:val="00AD1B21"/>
    <w:rsid w:val="00AD1CFC"/>
    <w:rsid w:val="00AD1DFE"/>
    <w:rsid w:val="00AD1F06"/>
    <w:rsid w:val="00AD1FF6"/>
    <w:rsid w:val="00AD21BC"/>
    <w:rsid w:val="00AD2224"/>
    <w:rsid w:val="00AD23E9"/>
    <w:rsid w:val="00AD2450"/>
    <w:rsid w:val="00AD255D"/>
    <w:rsid w:val="00AD284F"/>
    <w:rsid w:val="00AD288C"/>
    <w:rsid w:val="00AD2A90"/>
    <w:rsid w:val="00AD2ACB"/>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8B1"/>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710"/>
    <w:rsid w:val="00AE69BD"/>
    <w:rsid w:val="00AE6A2D"/>
    <w:rsid w:val="00AE6D12"/>
    <w:rsid w:val="00AE6EE5"/>
    <w:rsid w:val="00AE723D"/>
    <w:rsid w:val="00AE7444"/>
    <w:rsid w:val="00AE74BB"/>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B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554"/>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1E32"/>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19F"/>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5E8"/>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A7B"/>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CC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23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5152"/>
    <w:rsid w:val="00B6515C"/>
    <w:rsid w:val="00B652A5"/>
    <w:rsid w:val="00B652B0"/>
    <w:rsid w:val="00B654CB"/>
    <w:rsid w:val="00B65771"/>
    <w:rsid w:val="00B65890"/>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90C"/>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991"/>
    <w:rsid w:val="00B86D87"/>
    <w:rsid w:val="00B86F86"/>
    <w:rsid w:val="00B87324"/>
    <w:rsid w:val="00B87774"/>
    <w:rsid w:val="00B87809"/>
    <w:rsid w:val="00B87980"/>
    <w:rsid w:val="00B87B9C"/>
    <w:rsid w:val="00B87C60"/>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92C"/>
    <w:rsid w:val="00B95A04"/>
    <w:rsid w:val="00B95A42"/>
    <w:rsid w:val="00B95C49"/>
    <w:rsid w:val="00B95EEF"/>
    <w:rsid w:val="00B95F2C"/>
    <w:rsid w:val="00B95FD7"/>
    <w:rsid w:val="00B96228"/>
    <w:rsid w:val="00B962CF"/>
    <w:rsid w:val="00B96313"/>
    <w:rsid w:val="00B96B35"/>
    <w:rsid w:val="00B96CF0"/>
    <w:rsid w:val="00B96DA2"/>
    <w:rsid w:val="00B97059"/>
    <w:rsid w:val="00B972E4"/>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B91"/>
    <w:rsid w:val="00BA1D07"/>
    <w:rsid w:val="00BA21CB"/>
    <w:rsid w:val="00BA24F8"/>
    <w:rsid w:val="00BA2706"/>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564"/>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6A92"/>
    <w:rsid w:val="00BC71C5"/>
    <w:rsid w:val="00BC7307"/>
    <w:rsid w:val="00BC7659"/>
    <w:rsid w:val="00BC7771"/>
    <w:rsid w:val="00BC77A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6AEA"/>
    <w:rsid w:val="00BD71E9"/>
    <w:rsid w:val="00BD78B8"/>
    <w:rsid w:val="00BD7A82"/>
    <w:rsid w:val="00BD7EB4"/>
    <w:rsid w:val="00BD7F9E"/>
    <w:rsid w:val="00BE019B"/>
    <w:rsid w:val="00BE067E"/>
    <w:rsid w:val="00BE072F"/>
    <w:rsid w:val="00BE0C3B"/>
    <w:rsid w:val="00BE1249"/>
    <w:rsid w:val="00BE13B8"/>
    <w:rsid w:val="00BE1524"/>
    <w:rsid w:val="00BE197A"/>
    <w:rsid w:val="00BE1A06"/>
    <w:rsid w:val="00BE1B3A"/>
    <w:rsid w:val="00BE1B63"/>
    <w:rsid w:val="00BE23B3"/>
    <w:rsid w:val="00BE24D8"/>
    <w:rsid w:val="00BE26B4"/>
    <w:rsid w:val="00BE291B"/>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65F"/>
    <w:rsid w:val="00BE68A4"/>
    <w:rsid w:val="00BE68B9"/>
    <w:rsid w:val="00BE7265"/>
    <w:rsid w:val="00BE757D"/>
    <w:rsid w:val="00BE7662"/>
    <w:rsid w:val="00BE7B27"/>
    <w:rsid w:val="00BE7D11"/>
    <w:rsid w:val="00BF02E6"/>
    <w:rsid w:val="00BF0A66"/>
    <w:rsid w:val="00BF10D2"/>
    <w:rsid w:val="00BF10D6"/>
    <w:rsid w:val="00BF120B"/>
    <w:rsid w:val="00BF1309"/>
    <w:rsid w:val="00BF157C"/>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5E1"/>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1F"/>
    <w:rsid w:val="00C11529"/>
    <w:rsid w:val="00C1157C"/>
    <w:rsid w:val="00C11B11"/>
    <w:rsid w:val="00C11B8C"/>
    <w:rsid w:val="00C11C33"/>
    <w:rsid w:val="00C11C73"/>
    <w:rsid w:val="00C11E15"/>
    <w:rsid w:val="00C11FE5"/>
    <w:rsid w:val="00C11FF6"/>
    <w:rsid w:val="00C12068"/>
    <w:rsid w:val="00C122AA"/>
    <w:rsid w:val="00C12EB5"/>
    <w:rsid w:val="00C1328A"/>
    <w:rsid w:val="00C132B0"/>
    <w:rsid w:val="00C13504"/>
    <w:rsid w:val="00C13C8A"/>
    <w:rsid w:val="00C13CAE"/>
    <w:rsid w:val="00C13F22"/>
    <w:rsid w:val="00C140FE"/>
    <w:rsid w:val="00C1412F"/>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28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09E"/>
    <w:rsid w:val="00C27156"/>
    <w:rsid w:val="00C274BE"/>
    <w:rsid w:val="00C275D9"/>
    <w:rsid w:val="00C2769D"/>
    <w:rsid w:val="00C27CD4"/>
    <w:rsid w:val="00C27E49"/>
    <w:rsid w:val="00C304FD"/>
    <w:rsid w:val="00C307FA"/>
    <w:rsid w:val="00C30845"/>
    <w:rsid w:val="00C3093E"/>
    <w:rsid w:val="00C30973"/>
    <w:rsid w:val="00C30A55"/>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B1D"/>
    <w:rsid w:val="00C42F8C"/>
    <w:rsid w:val="00C4308F"/>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47FF3"/>
    <w:rsid w:val="00C502CA"/>
    <w:rsid w:val="00C505D3"/>
    <w:rsid w:val="00C506A8"/>
    <w:rsid w:val="00C50728"/>
    <w:rsid w:val="00C508B7"/>
    <w:rsid w:val="00C509D3"/>
    <w:rsid w:val="00C51696"/>
    <w:rsid w:val="00C51780"/>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BC3"/>
    <w:rsid w:val="00C55E23"/>
    <w:rsid w:val="00C5638E"/>
    <w:rsid w:val="00C567AF"/>
    <w:rsid w:val="00C56918"/>
    <w:rsid w:val="00C569CA"/>
    <w:rsid w:val="00C56C80"/>
    <w:rsid w:val="00C5733A"/>
    <w:rsid w:val="00C57CC6"/>
    <w:rsid w:val="00C57D43"/>
    <w:rsid w:val="00C57FA2"/>
    <w:rsid w:val="00C601EB"/>
    <w:rsid w:val="00C602DB"/>
    <w:rsid w:val="00C6048B"/>
    <w:rsid w:val="00C605AC"/>
    <w:rsid w:val="00C60708"/>
    <w:rsid w:val="00C60EC1"/>
    <w:rsid w:val="00C61061"/>
    <w:rsid w:val="00C613E1"/>
    <w:rsid w:val="00C6193F"/>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CC7"/>
    <w:rsid w:val="00C67F34"/>
    <w:rsid w:val="00C70366"/>
    <w:rsid w:val="00C7040D"/>
    <w:rsid w:val="00C70555"/>
    <w:rsid w:val="00C7087E"/>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0B"/>
    <w:rsid w:val="00C85DD1"/>
    <w:rsid w:val="00C85F12"/>
    <w:rsid w:val="00C8605C"/>
    <w:rsid w:val="00C86379"/>
    <w:rsid w:val="00C864DB"/>
    <w:rsid w:val="00C8669B"/>
    <w:rsid w:val="00C86CA2"/>
    <w:rsid w:val="00C870BA"/>
    <w:rsid w:val="00C8710D"/>
    <w:rsid w:val="00C871CF"/>
    <w:rsid w:val="00C873D5"/>
    <w:rsid w:val="00C8781D"/>
    <w:rsid w:val="00C878E9"/>
    <w:rsid w:val="00C87A95"/>
    <w:rsid w:val="00C87AF9"/>
    <w:rsid w:val="00C87C41"/>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E08"/>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1A4D"/>
    <w:rsid w:val="00CA2455"/>
    <w:rsid w:val="00CA2480"/>
    <w:rsid w:val="00CA267C"/>
    <w:rsid w:val="00CA283D"/>
    <w:rsid w:val="00CA28F8"/>
    <w:rsid w:val="00CA2919"/>
    <w:rsid w:val="00CA2C56"/>
    <w:rsid w:val="00CA2ED2"/>
    <w:rsid w:val="00CA31B9"/>
    <w:rsid w:val="00CA342A"/>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BA"/>
    <w:rsid w:val="00CB35ED"/>
    <w:rsid w:val="00CB3823"/>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DC6"/>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73B"/>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0F"/>
    <w:rsid w:val="00CD5ADA"/>
    <w:rsid w:val="00CD5C02"/>
    <w:rsid w:val="00CD5EC5"/>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889"/>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4CB3"/>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859"/>
    <w:rsid w:val="00CE7BFD"/>
    <w:rsid w:val="00CF0131"/>
    <w:rsid w:val="00CF02AC"/>
    <w:rsid w:val="00CF040B"/>
    <w:rsid w:val="00CF057C"/>
    <w:rsid w:val="00CF06E6"/>
    <w:rsid w:val="00CF0878"/>
    <w:rsid w:val="00CF08B8"/>
    <w:rsid w:val="00CF0CD7"/>
    <w:rsid w:val="00CF0DD9"/>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891"/>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973"/>
    <w:rsid w:val="00D10A74"/>
    <w:rsid w:val="00D10D83"/>
    <w:rsid w:val="00D1121C"/>
    <w:rsid w:val="00D113AD"/>
    <w:rsid w:val="00D11672"/>
    <w:rsid w:val="00D1181C"/>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74F"/>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2E3"/>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410B"/>
    <w:rsid w:val="00D3423D"/>
    <w:rsid w:val="00D344C9"/>
    <w:rsid w:val="00D34876"/>
    <w:rsid w:val="00D34965"/>
    <w:rsid w:val="00D34F07"/>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538"/>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E1F"/>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516"/>
    <w:rsid w:val="00D66C66"/>
    <w:rsid w:val="00D66CE6"/>
    <w:rsid w:val="00D66CEF"/>
    <w:rsid w:val="00D66DAA"/>
    <w:rsid w:val="00D671EF"/>
    <w:rsid w:val="00D67888"/>
    <w:rsid w:val="00D7010A"/>
    <w:rsid w:val="00D7040B"/>
    <w:rsid w:val="00D7048E"/>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03"/>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4EDE"/>
    <w:rsid w:val="00D85278"/>
    <w:rsid w:val="00D86008"/>
    <w:rsid w:val="00D8654A"/>
    <w:rsid w:val="00D86581"/>
    <w:rsid w:val="00D8666C"/>
    <w:rsid w:val="00D86A50"/>
    <w:rsid w:val="00D86ACF"/>
    <w:rsid w:val="00D86B37"/>
    <w:rsid w:val="00D86EF6"/>
    <w:rsid w:val="00D87154"/>
    <w:rsid w:val="00D873AD"/>
    <w:rsid w:val="00D873BF"/>
    <w:rsid w:val="00D87635"/>
    <w:rsid w:val="00D8778A"/>
    <w:rsid w:val="00D901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E37"/>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46E"/>
    <w:rsid w:val="00DA27BD"/>
    <w:rsid w:val="00DA29C4"/>
    <w:rsid w:val="00DA2D90"/>
    <w:rsid w:val="00DA310F"/>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BB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E8"/>
    <w:rsid w:val="00DB04CE"/>
    <w:rsid w:val="00DB0564"/>
    <w:rsid w:val="00DB0D5D"/>
    <w:rsid w:val="00DB0E59"/>
    <w:rsid w:val="00DB118D"/>
    <w:rsid w:val="00DB13D7"/>
    <w:rsid w:val="00DB1539"/>
    <w:rsid w:val="00DB1D47"/>
    <w:rsid w:val="00DB1F98"/>
    <w:rsid w:val="00DB23E8"/>
    <w:rsid w:val="00DB2542"/>
    <w:rsid w:val="00DB2557"/>
    <w:rsid w:val="00DB268F"/>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8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79"/>
    <w:rsid w:val="00DC1FCC"/>
    <w:rsid w:val="00DC2037"/>
    <w:rsid w:val="00DC22B7"/>
    <w:rsid w:val="00DC257F"/>
    <w:rsid w:val="00DC26A8"/>
    <w:rsid w:val="00DC2898"/>
    <w:rsid w:val="00DC28A6"/>
    <w:rsid w:val="00DC28EC"/>
    <w:rsid w:val="00DC306B"/>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08"/>
    <w:rsid w:val="00DD3B71"/>
    <w:rsid w:val="00DD48E6"/>
    <w:rsid w:val="00DD49D3"/>
    <w:rsid w:val="00DD4A2A"/>
    <w:rsid w:val="00DD4BA6"/>
    <w:rsid w:val="00DD4F2A"/>
    <w:rsid w:val="00DD51CE"/>
    <w:rsid w:val="00DD5439"/>
    <w:rsid w:val="00DD5536"/>
    <w:rsid w:val="00DD5981"/>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E0171"/>
    <w:rsid w:val="00DE0333"/>
    <w:rsid w:val="00DE03E1"/>
    <w:rsid w:val="00DE0450"/>
    <w:rsid w:val="00DE0558"/>
    <w:rsid w:val="00DE067E"/>
    <w:rsid w:val="00DE088E"/>
    <w:rsid w:val="00DE0C6E"/>
    <w:rsid w:val="00DE1011"/>
    <w:rsid w:val="00DE128B"/>
    <w:rsid w:val="00DE1452"/>
    <w:rsid w:val="00DE14DB"/>
    <w:rsid w:val="00DE1799"/>
    <w:rsid w:val="00DE1D93"/>
    <w:rsid w:val="00DE1E4F"/>
    <w:rsid w:val="00DE21CF"/>
    <w:rsid w:val="00DE26C2"/>
    <w:rsid w:val="00DE279F"/>
    <w:rsid w:val="00DE2D4B"/>
    <w:rsid w:val="00DE31B6"/>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07"/>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46E"/>
    <w:rsid w:val="00E1273A"/>
    <w:rsid w:val="00E127F2"/>
    <w:rsid w:val="00E12933"/>
    <w:rsid w:val="00E12A5A"/>
    <w:rsid w:val="00E12AF0"/>
    <w:rsid w:val="00E12B9F"/>
    <w:rsid w:val="00E132C4"/>
    <w:rsid w:val="00E13326"/>
    <w:rsid w:val="00E136AE"/>
    <w:rsid w:val="00E138E4"/>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4FB"/>
    <w:rsid w:val="00E216A5"/>
    <w:rsid w:val="00E216AA"/>
    <w:rsid w:val="00E222C6"/>
    <w:rsid w:val="00E224C9"/>
    <w:rsid w:val="00E22625"/>
    <w:rsid w:val="00E226BE"/>
    <w:rsid w:val="00E2297B"/>
    <w:rsid w:val="00E229F7"/>
    <w:rsid w:val="00E22A10"/>
    <w:rsid w:val="00E22B8D"/>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0D7F"/>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3EC"/>
    <w:rsid w:val="00E564C1"/>
    <w:rsid w:val="00E56AF0"/>
    <w:rsid w:val="00E56D97"/>
    <w:rsid w:val="00E56E3C"/>
    <w:rsid w:val="00E56F3C"/>
    <w:rsid w:val="00E56F64"/>
    <w:rsid w:val="00E5711F"/>
    <w:rsid w:val="00E57AC3"/>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40"/>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2E5"/>
    <w:rsid w:val="00E655F2"/>
    <w:rsid w:val="00E65A35"/>
    <w:rsid w:val="00E65D31"/>
    <w:rsid w:val="00E65E6B"/>
    <w:rsid w:val="00E66245"/>
    <w:rsid w:val="00E6640D"/>
    <w:rsid w:val="00E66550"/>
    <w:rsid w:val="00E666A1"/>
    <w:rsid w:val="00E6682F"/>
    <w:rsid w:val="00E66A62"/>
    <w:rsid w:val="00E6702E"/>
    <w:rsid w:val="00E6756F"/>
    <w:rsid w:val="00E67631"/>
    <w:rsid w:val="00E67A42"/>
    <w:rsid w:val="00E67FAC"/>
    <w:rsid w:val="00E70121"/>
    <w:rsid w:val="00E701CA"/>
    <w:rsid w:val="00E702D8"/>
    <w:rsid w:val="00E7041A"/>
    <w:rsid w:val="00E705E5"/>
    <w:rsid w:val="00E70B0C"/>
    <w:rsid w:val="00E70DDF"/>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33"/>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764"/>
    <w:rsid w:val="00E82819"/>
    <w:rsid w:val="00E82EE0"/>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869"/>
    <w:rsid w:val="00E84934"/>
    <w:rsid w:val="00E84942"/>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BFD"/>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0D19"/>
    <w:rsid w:val="00EC1044"/>
    <w:rsid w:val="00EC114F"/>
    <w:rsid w:val="00EC11FA"/>
    <w:rsid w:val="00EC183D"/>
    <w:rsid w:val="00EC1974"/>
    <w:rsid w:val="00EC19B0"/>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72A"/>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C92"/>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CB"/>
    <w:rsid w:val="00EE443D"/>
    <w:rsid w:val="00EE448E"/>
    <w:rsid w:val="00EE44A0"/>
    <w:rsid w:val="00EE4825"/>
    <w:rsid w:val="00EE4904"/>
    <w:rsid w:val="00EE4CC7"/>
    <w:rsid w:val="00EE5112"/>
    <w:rsid w:val="00EE539F"/>
    <w:rsid w:val="00EE5697"/>
    <w:rsid w:val="00EE574A"/>
    <w:rsid w:val="00EE5A5C"/>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576"/>
    <w:rsid w:val="00F046FD"/>
    <w:rsid w:val="00F04D51"/>
    <w:rsid w:val="00F056AB"/>
    <w:rsid w:val="00F056F0"/>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5F35"/>
    <w:rsid w:val="00F1600F"/>
    <w:rsid w:val="00F1643F"/>
    <w:rsid w:val="00F164A1"/>
    <w:rsid w:val="00F165AC"/>
    <w:rsid w:val="00F165FF"/>
    <w:rsid w:val="00F16772"/>
    <w:rsid w:val="00F16BB1"/>
    <w:rsid w:val="00F16D2D"/>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43D"/>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A00"/>
    <w:rsid w:val="00F36C0F"/>
    <w:rsid w:val="00F36EC8"/>
    <w:rsid w:val="00F3721C"/>
    <w:rsid w:val="00F377A2"/>
    <w:rsid w:val="00F37922"/>
    <w:rsid w:val="00F37AEF"/>
    <w:rsid w:val="00F37DC6"/>
    <w:rsid w:val="00F37DF0"/>
    <w:rsid w:val="00F4035D"/>
    <w:rsid w:val="00F40F9B"/>
    <w:rsid w:val="00F41737"/>
    <w:rsid w:val="00F41D1F"/>
    <w:rsid w:val="00F42910"/>
    <w:rsid w:val="00F42C2B"/>
    <w:rsid w:val="00F43022"/>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A1"/>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5F9F"/>
    <w:rsid w:val="00F564B4"/>
    <w:rsid w:val="00F56D31"/>
    <w:rsid w:val="00F570CF"/>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49"/>
    <w:rsid w:val="00F61B52"/>
    <w:rsid w:val="00F61D0E"/>
    <w:rsid w:val="00F61EE5"/>
    <w:rsid w:val="00F61FDE"/>
    <w:rsid w:val="00F62143"/>
    <w:rsid w:val="00F62338"/>
    <w:rsid w:val="00F62377"/>
    <w:rsid w:val="00F6242F"/>
    <w:rsid w:val="00F625B5"/>
    <w:rsid w:val="00F625CD"/>
    <w:rsid w:val="00F62862"/>
    <w:rsid w:val="00F62D2C"/>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26"/>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A5D"/>
    <w:rsid w:val="00F91C81"/>
    <w:rsid w:val="00F91CA2"/>
    <w:rsid w:val="00F91DAC"/>
    <w:rsid w:val="00F91EEE"/>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4BF"/>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EDE"/>
    <w:rsid w:val="00FA50E8"/>
    <w:rsid w:val="00FA526F"/>
    <w:rsid w:val="00FA53C1"/>
    <w:rsid w:val="00FA5415"/>
    <w:rsid w:val="00FA5527"/>
    <w:rsid w:val="00FA558C"/>
    <w:rsid w:val="00FA562D"/>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3D50"/>
    <w:rsid w:val="00FB4065"/>
    <w:rsid w:val="00FB4760"/>
    <w:rsid w:val="00FB47B5"/>
    <w:rsid w:val="00FB5201"/>
    <w:rsid w:val="00FB52FD"/>
    <w:rsid w:val="00FB57A7"/>
    <w:rsid w:val="00FB5A6F"/>
    <w:rsid w:val="00FB63EA"/>
    <w:rsid w:val="00FB67CA"/>
    <w:rsid w:val="00FB7284"/>
    <w:rsid w:val="00FB72CB"/>
    <w:rsid w:val="00FB73AC"/>
    <w:rsid w:val="00FB76B2"/>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095E"/>
    <w:rsid w:val="00FD10D2"/>
    <w:rsid w:val="00FD117C"/>
    <w:rsid w:val="00FD16F9"/>
    <w:rsid w:val="00FD2166"/>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ADA"/>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 w:val="1CD15982"/>
    <w:rsid w:val="38873D43"/>
    <w:rsid w:val="479D410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416DE7C"/>
  <w15:docId w15:val="{3DC596E2-5232-4FB8-A135-96B2F610A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spacing w:after="180"/>
    </w:pPr>
    <w:rPr>
      <w:rFonts w:ascii="Times New Roman" w:eastAsiaTheme="minorEastAsia"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adjustRightInd w:val="0"/>
      <w:ind w:left="568" w:hanging="284"/>
      <w:textAlignment w:val="baseline"/>
    </w:pPr>
    <w:rPr>
      <w:rFonts w:eastAsia="SimSu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adjustRightInd w:val="0"/>
      <w:spacing w:before="120" w:after="120"/>
      <w:textAlignment w:val="baseline"/>
    </w:pPr>
    <w:rPr>
      <w:rFonts w:eastAsia="SimSun"/>
      <w:b/>
      <w:bCs/>
    </w:rPr>
  </w:style>
  <w:style w:type="paragraph" w:styleId="DocumentMap">
    <w:name w:val="Document Map"/>
    <w:basedOn w:val="Normal"/>
    <w:semiHidden/>
    <w:qFormat/>
    <w:pPr>
      <w:shd w:val="clear" w:color="auto" w:fill="000080"/>
      <w:adjustRightInd w:val="0"/>
      <w:textAlignment w:val="baseline"/>
    </w:pPr>
    <w:rPr>
      <w:rFonts w:ascii="Tahoma" w:eastAsia="SimSun" w:hAnsi="Tahoma"/>
    </w:rPr>
  </w:style>
  <w:style w:type="paragraph" w:styleId="CommentText">
    <w:name w:val="annotation text"/>
    <w:basedOn w:val="Normal"/>
    <w:link w:val="CommentTextChar"/>
    <w:qFormat/>
    <w:pPr>
      <w:adjustRightInd w:val="0"/>
      <w:textAlignment w:val="baseline"/>
    </w:pPr>
    <w:rPr>
      <w:rFonts w:eastAsia="SimSun"/>
      <w:lang w:eastAsia="zh-CN"/>
    </w:rPr>
  </w:style>
  <w:style w:type="paragraph" w:styleId="BodyText3">
    <w:name w:val="Body Text 3"/>
    <w:basedOn w:val="Normal"/>
    <w:qFormat/>
    <w:pPr>
      <w:adjustRightInd w:val="0"/>
      <w:textAlignment w:val="baseline"/>
    </w:pPr>
    <w:rPr>
      <w:rFonts w:eastAsia="SimSun"/>
      <w:i/>
    </w:rPr>
  </w:style>
  <w:style w:type="paragraph" w:styleId="BodyText">
    <w:name w:val="Body Text"/>
    <w:basedOn w:val="Normal"/>
    <w:link w:val="BodyTextChar"/>
    <w:qFormat/>
    <w:pPr>
      <w:adjustRightInd w:val="0"/>
      <w:spacing w:after="120"/>
      <w:jc w:val="both"/>
      <w:textAlignment w:val="baseline"/>
    </w:pPr>
    <w:rPr>
      <w:rFonts w:ascii="Times" w:eastAsia="SimSun" w:hAnsi="Times"/>
      <w:szCs w:val="24"/>
    </w:rPr>
  </w:style>
  <w:style w:type="paragraph" w:styleId="PlainText">
    <w:name w:val="Plain Text"/>
    <w:basedOn w:val="Normal"/>
    <w:link w:val="PlainTextChar"/>
    <w:uiPriority w:val="99"/>
    <w:semiHidden/>
    <w:unhideWhenUsed/>
    <w:qFormat/>
    <w:pPr>
      <w:overflowPunct/>
      <w:autoSpaceDE/>
      <w:autoSpaceDN/>
      <w:spacing w:after="0"/>
    </w:pPr>
    <w:rPr>
      <w:rFonts w:ascii="Calibri" w:eastAsiaTheme="minorHAnsi" w:hAnsi="Calibri" w:cs="Calibri"/>
      <w:sz w:val="22"/>
      <w:szCs w:val="22"/>
      <w:lang w:eastAsia="zh-CN"/>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adjustRightInd w:val="0"/>
      <w:textAlignment w:val="baseline"/>
    </w:pPr>
    <w:rPr>
      <w:rFonts w:ascii="Tahoma" w:eastAsia="SimSun"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adjustRightInd w:val="0"/>
      <w:spacing w:after="60"/>
      <w:jc w:val="center"/>
      <w:textAlignment w:val="baseline"/>
      <w:outlineLvl w:val="1"/>
    </w:pPr>
    <w:rPr>
      <w:rFonts w:ascii="Cambria" w:eastAsia="SimSun" w:hAnsi="Cambria"/>
      <w:sz w:val="24"/>
      <w:szCs w:val="24"/>
    </w:rPr>
  </w:style>
  <w:style w:type="paragraph" w:styleId="FootnoteText">
    <w:name w:val="footnote text"/>
    <w:basedOn w:val="Normal"/>
    <w:semiHidden/>
    <w:qFormat/>
    <w:pPr>
      <w:keepLines/>
      <w:adjustRightInd w:val="0"/>
      <w:spacing w:after="0"/>
      <w:ind w:left="454" w:hanging="454"/>
      <w:textAlignment w:val="baseline"/>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adjustRightInd w:val="0"/>
      <w:spacing w:after="0"/>
      <w:jc w:val="both"/>
      <w:textAlignment w:val="baseline"/>
    </w:pPr>
    <w:rPr>
      <w:rFonts w:ascii="Arial" w:eastAsia="SimSun" w:hAnsi="Arial"/>
      <w:sz w:val="22"/>
    </w:rPr>
  </w:style>
  <w:style w:type="paragraph" w:styleId="NormalWeb">
    <w:name w:val="Normal (Web)"/>
    <w:basedOn w:val="Normal"/>
    <w:uiPriority w:val="99"/>
    <w:unhideWhenUsed/>
    <w:qFormat/>
    <w:pPr>
      <w:overflowPunct/>
      <w:autoSpaceDE/>
      <w:autoSpaceDN/>
      <w:spacing w:before="100" w:beforeAutospacing="1" w:after="100" w:afterAutospacing="1"/>
    </w:pPr>
    <w:rPr>
      <w:rFonts w:eastAsia="SimSun"/>
      <w:sz w:val="24"/>
      <w:szCs w:val="24"/>
    </w:rPr>
  </w:style>
  <w:style w:type="paragraph" w:styleId="Index1">
    <w:name w:val="index 1"/>
    <w:basedOn w:val="Normal"/>
    <w:next w:val="Normal"/>
    <w:semiHidden/>
    <w:qFormat/>
    <w:pPr>
      <w:keepLines/>
      <w:adjustRightInd w:val="0"/>
      <w:spacing w:after="0"/>
      <w:textAlignment w:val="baseline"/>
    </w:pPr>
    <w:rPr>
      <w:rFonts w:eastAsia="SimSun"/>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adjustRightInd w:val="0"/>
      <w:spacing w:after="0"/>
      <w:textAlignment w:val="baseline"/>
    </w:pPr>
    <w:rPr>
      <w:rFonts w:ascii="Arial" w:eastAsia="SimSun"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adjustRightInd w:val="0"/>
      <w:spacing w:before="60"/>
      <w:jc w:val="center"/>
      <w:textAlignment w:val="baseline"/>
    </w:pPr>
    <w:rPr>
      <w:rFonts w:ascii="Arial" w:eastAsia="SimSun" w:hAnsi="Arial"/>
      <w:b/>
    </w:rPr>
  </w:style>
  <w:style w:type="paragraph" w:customStyle="1" w:styleId="NO">
    <w:name w:val="NO"/>
    <w:basedOn w:val="Normal"/>
    <w:qFormat/>
    <w:pPr>
      <w:keepLines/>
      <w:adjustRightInd w:val="0"/>
      <w:ind w:left="1135" w:hanging="851"/>
      <w:textAlignment w:val="baseline"/>
    </w:pPr>
    <w:rPr>
      <w:rFonts w:eastAsia="SimSun"/>
    </w:rPr>
  </w:style>
  <w:style w:type="paragraph" w:customStyle="1" w:styleId="EX">
    <w:name w:val="EX"/>
    <w:basedOn w:val="Normal"/>
    <w:qFormat/>
    <w:pPr>
      <w:keepLines/>
      <w:adjustRightInd w:val="0"/>
      <w:ind w:left="1702" w:hanging="1418"/>
      <w:textAlignment w:val="baseline"/>
    </w:pPr>
    <w:rPr>
      <w:rFonts w:eastAsia="SimSun"/>
    </w:rPr>
  </w:style>
  <w:style w:type="paragraph" w:customStyle="1" w:styleId="FP">
    <w:name w:val="FP"/>
    <w:basedOn w:val="Normal"/>
    <w:qFormat/>
    <w:pPr>
      <w:adjustRightInd w:val="0"/>
      <w:spacing w:after="0"/>
      <w:textAlignment w:val="baseline"/>
    </w:pPr>
    <w:rPr>
      <w:rFonts w:eastAsia="SimSu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uiPriority w:val="99"/>
    <w:qFormat/>
    <w:pPr>
      <w:keepLines/>
      <w:tabs>
        <w:tab w:val="center" w:pos="4536"/>
        <w:tab w:val="right" w:pos="9072"/>
      </w:tabs>
      <w:adjustRightInd w:val="0"/>
      <w:textAlignment w:val="baseline"/>
    </w:pPr>
    <w:rPr>
      <w:rFonts w:eastAsia="SimSu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adjustRightInd w:val="0"/>
      <w:textAlignment w:val="baseline"/>
    </w:pPr>
    <w:rPr>
      <w:rFonts w:eastAsia="SimSun"/>
    </w:rPr>
  </w:style>
  <w:style w:type="paragraph" w:customStyle="1" w:styleId="text">
    <w:name w:val="text"/>
    <w:basedOn w:val="Normal"/>
    <w:qFormat/>
    <w:pPr>
      <w:adjustRightInd w:val="0"/>
      <w:spacing w:after="240"/>
      <w:jc w:val="both"/>
      <w:textAlignment w:val="baseline"/>
    </w:pPr>
    <w:rPr>
      <w:rFonts w:eastAsia="SimSun"/>
      <w:sz w:val="24"/>
      <w:lang w:eastAsia="zh-CN"/>
    </w:rPr>
  </w:style>
  <w:style w:type="paragraph" w:customStyle="1" w:styleId="Equation">
    <w:name w:val="Equation"/>
    <w:basedOn w:val="Normal"/>
    <w:next w:val="Normal"/>
    <w:qFormat/>
    <w:pPr>
      <w:tabs>
        <w:tab w:val="right" w:pos="10206"/>
      </w:tabs>
      <w:adjustRightInd w:val="0"/>
      <w:spacing w:after="220"/>
      <w:ind w:left="1298"/>
      <w:textAlignment w:val="baseline"/>
    </w:pPr>
    <w:rPr>
      <w:rFonts w:ascii="Arial" w:eastAsia="SimSun" w:hAnsi="Arial"/>
      <w:sz w:val="22"/>
      <w:lang w:eastAsia="zh-CN"/>
    </w:rPr>
  </w:style>
  <w:style w:type="paragraph" w:customStyle="1" w:styleId="00BodyText">
    <w:name w:val="00 BodyText"/>
    <w:basedOn w:val="Normal"/>
    <w:qFormat/>
    <w:pPr>
      <w:adjustRightInd w:val="0"/>
      <w:spacing w:after="220"/>
      <w:textAlignment w:val="baseline"/>
    </w:pPr>
    <w:rPr>
      <w:rFonts w:ascii="Arial" w:eastAsia="SimSun" w:hAnsi="Arial"/>
      <w:sz w:val="22"/>
    </w:rPr>
  </w:style>
  <w:style w:type="paragraph" w:customStyle="1" w:styleId="11BodyText">
    <w:name w:val="11 BodyText"/>
    <w:basedOn w:val="Normal"/>
    <w:qFormat/>
    <w:pPr>
      <w:adjustRightInd w:val="0"/>
      <w:spacing w:after="220"/>
      <w:ind w:left="1298"/>
      <w:textAlignment w:val="baseline"/>
    </w:pPr>
    <w:rPr>
      <w:rFonts w:ascii="Arial" w:eastAsia="SimSun"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adjustRightInd w:val="0"/>
      <w:spacing w:before="120" w:after="120" w:line="280" w:lineRule="atLeast"/>
      <w:jc w:val="both"/>
      <w:textAlignment w:val="baseline"/>
    </w:pPr>
    <w:rPr>
      <w:rFonts w:ascii="New York" w:eastAsia="SimSun"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adjustRightInd w:val="0"/>
      <w:spacing w:before="120" w:after="120" w:line="280" w:lineRule="atLeast"/>
      <w:jc w:val="both"/>
      <w:textAlignment w:val="baseline"/>
    </w:pPr>
    <w:rPr>
      <w:rFonts w:ascii="New York" w:eastAsia="SimSun"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spacing w:after="0"/>
      <w:ind w:left="720"/>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link w:val="LGTdocChar"/>
    <w:qFormat/>
    <w:pPr>
      <w:widowControl w:val="0"/>
      <w:overflowPunct/>
      <w:adjustRightInd w:val="0"/>
      <w:snapToGrid w:val="0"/>
      <w:spacing w:afterLines="50" w:after="0" w:line="264" w:lineRule="auto"/>
      <w:jc w:val="both"/>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40" w:after="40"/>
      <w:jc w:val="both"/>
    </w:pPr>
    <w:rPr>
      <w:rFonts w:eastAsia="SimSun"/>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80" w:after="80"/>
      <w:jc w:val="center"/>
    </w:pPr>
    <w:rPr>
      <w:rFonts w:eastAsia="SimSun"/>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overflowPunct/>
      <w:snapToGrid w:val="0"/>
      <w:spacing w:after="60"/>
      <w:jc w:val="both"/>
    </w:pPr>
    <w:rPr>
      <w:rFonts w:eastAsia="SimSun"/>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paragraph" w:customStyle="1" w:styleId="TdocHeader2">
    <w:name w:val="Tdoc_Header_2"/>
    <w:basedOn w:val="Normal"/>
    <w:qFormat/>
    <w:pPr>
      <w:widowControl w:val="0"/>
      <w:tabs>
        <w:tab w:val="left" w:pos="1440"/>
        <w:tab w:val="left" w:pos="1701"/>
        <w:tab w:val="right" w:pos="9072"/>
        <w:tab w:val="right" w:pos="10206"/>
      </w:tabs>
      <w:overflowPunct/>
      <w:autoSpaceDE/>
      <w:autoSpaceDN/>
      <w:spacing w:after="0"/>
      <w:ind w:left="1440" w:hanging="1440"/>
      <w:jc w:val="both"/>
    </w:pPr>
    <w:rPr>
      <w:rFonts w:ascii="Arial" w:eastAsia="Batang" w:hAnsi="Arial"/>
      <w:b/>
      <w:sz w:val="18"/>
      <w:lang w:val="en-GB"/>
    </w:rPr>
  </w:style>
  <w:style w:type="character" w:customStyle="1" w:styleId="B1Char1">
    <w:name w:val="B1 Char1"/>
    <w:link w:val="B1"/>
    <w:qFormat/>
    <w:locked/>
    <w:rPr>
      <w:rFonts w:ascii="Times New Roman" w:hAnsi="Times New Roman"/>
      <w:lang w:eastAsia="en-US"/>
    </w:rPr>
  </w:style>
  <w:style w:type="character" w:customStyle="1" w:styleId="B1Zchn">
    <w:name w:val="B1 Zchn"/>
    <w:qFormat/>
    <w:locked/>
    <w:rPr>
      <w:lang w:val="en-GB" w:eastAsia="en-US"/>
    </w:rPr>
  </w:style>
  <w:style w:type="character" w:customStyle="1" w:styleId="TAHCar">
    <w:name w:val="TAH Car"/>
    <w:link w:val="TAH"/>
    <w:qFormat/>
    <w:locked/>
    <w:rPr>
      <w:rFonts w:ascii="Arial" w:hAnsi="Arial"/>
      <w:b/>
      <w:sz w:val="18"/>
      <w:lang w:eastAsia="en-US"/>
    </w:rPr>
  </w:style>
  <w:style w:type="character" w:customStyle="1" w:styleId="B10">
    <w:name w:val="B1 (文字)"/>
    <w:qFormat/>
    <w:rPr>
      <w:rFonts w:eastAsia="MS Mincho"/>
      <w:lang w:val="en-GB" w:eastAsia="en-US" w:bidi="ar-SA"/>
    </w:rPr>
  </w:style>
  <w:style w:type="character" w:customStyle="1" w:styleId="B2Char">
    <w:name w:val="B2 Char"/>
    <w:basedOn w:val="DefaultParagraphFont"/>
    <w:link w:val="B2"/>
    <w:qFormat/>
    <w:locked/>
    <w:rPr>
      <w:rFonts w:ascii="Times New Roman" w:hAnsi="Times New Roman"/>
      <w:lang w:eastAsia="en-US"/>
    </w:rPr>
  </w:style>
  <w:style w:type="paragraph" w:customStyle="1" w:styleId="textintend3">
    <w:name w:val="text intend 3"/>
    <w:basedOn w:val="text"/>
    <w:qFormat/>
    <w:pPr>
      <w:numPr>
        <w:numId w:val="4"/>
      </w:numPr>
      <w:spacing w:after="120"/>
    </w:pPr>
    <w:rPr>
      <w:rFonts w:eastAsia="MS Mincho"/>
      <w:lang w:eastAsia="en-GB"/>
    </w:rPr>
  </w:style>
  <w:style w:type="character" w:customStyle="1" w:styleId="B3Char">
    <w:name w:val="B3 Char"/>
    <w:link w:val="B3"/>
    <w:qFormat/>
    <w:rPr>
      <w:rFonts w:ascii="Times New Roman" w:hAnsi="Times New Roman"/>
      <w:lang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spacing w:after="160" w:line="259" w:lineRule="auto"/>
    </w:pPr>
    <w:rPr>
      <w:rFonts w:asciiTheme="minorHAnsi" w:hAnsiTheme="minorHAnsi" w:cstheme="minorBidi"/>
      <w:sz w:val="22"/>
      <w:szCs w:val="22"/>
      <w:lang w:eastAsia="zh-CN"/>
    </w:rPr>
  </w:style>
  <w:style w:type="character" w:customStyle="1" w:styleId="MTDisplayEquationChar">
    <w:name w:val="MTDisplayEquation Char"/>
    <w:basedOn w:val="DefaultParagraphFont"/>
    <w:link w:val="MTDisplayEquation"/>
    <w:qFormat/>
    <w:rPr>
      <w:rFonts w:asciiTheme="minorHAnsi" w:eastAsiaTheme="minorEastAsia" w:hAnsiTheme="minorHAnsi" w:cstheme="minorBidi"/>
      <w:sz w:val="22"/>
      <w:szCs w:val="22"/>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rPr>
  </w:style>
  <w:style w:type="character" w:customStyle="1" w:styleId="EQChar">
    <w:name w:val="EQ Char"/>
    <w:basedOn w:val="DefaultParagraphFont"/>
    <w:link w:val="EQ"/>
    <w:qFormat/>
    <w:locked/>
    <w:rPr>
      <w:rFonts w:ascii="Times New Roman" w:hAnsi="Times New Roman"/>
      <w:lang w:eastAsia="en-US"/>
    </w:rPr>
  </w:style>
  <w:style w:type="character" w:customStyle="1" w:styleId="LGTdocChar">
    <w:name w:val="LGTdoc_본문 Char"/>
    <w:link w:val="LGTdoc"/>
    <w:qFormat/>
    <w:rPr>
      <w:rFonts w:ascii="Times New Roman" w:eastAsia="Batang" w:hAnsi="Times New Roman"/>
      <w:kern w:val="2"/>
      <w:sz w:val="22"/>
      <w:szCs w:val="24"/>
      <w:lang w:eastAsia="ko-KR"/>
    </w:rPr>
  </w:style>
  <w:style w:type="paragraph" w:customStyle="1" w:styleId="Style1">
    <w:name w:val="Style1"/>
    <w:basedOn w:val="Normal"/>
    <w:link w:val="Style1Char"/>
    <w:qFormat/>
    <w:pPr>
      <w:overflowPunct/>
      <w:autoSpaceDE/>
      <w:autoSpaceDN/>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Pr>
      <w:rFonts w:ascii="Times New Roman" w:hAnsi="Times New Roman"/>
    </w:rPr>
  </w:style>
  <w:style w:type="character" w:customStyle="1" w:styleId="Heading6Char">
    <w:name w:val="Heading 6 Char"/>
    <w:basedOn w:val="DefaultParagraphFont"/>
    <w:link w:val="Heading6"/>
    <w:qFormat/>
    <w:rPr>
      <w:rFonts w:ascii="Arial" w:hAnsi="Arial"/>
      <w:lang w:val="en-GB" w:eastAsia="en-US"/>
    </w:rPr>
  </w:style>
  <w:style w:type="character" w:customStyle="1" w:styleId="TALChar">
    <w:name w:val="TAL Char"/>
    <w:link w:val="TAL"/>
    <w:qFormat/>
    <w:rPr>
      <w:rFonts w:ascii="Arial" w:hAnsi="Arial"/>
      <w:sz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xmsonormal">
    <w:name w:val="xmsonormal"/>
    <w:basedOn w:val="Normal"/>
    <w:qFormat/>
    <w:pPr>
      <w:overflowPunct/>
      <w:autoSpaceDE/>
      <w:autoSpaceDN/>
      <w:spacing w:after="0"/>
    </w:pPr>
    <w:rPr>
      <w:rFonts w:ascii="SimSun" w:eastAsia="SimSun" w:hAnsi="SimSun" w:cs="SimSun"/>
      <w:sz w:val="24"/>
      <w:szCs w:val="22"/>
      <w:lang w:eastAsia="zh-CN"/>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FooterChar">
    <w:name w:val="Footer Char"/>
    <w:basedOn w:val="DefaultParagraphFont"/>
    <w:link w:val="Footer"/>
    <w:qFormat/>
    <w:rPr>
      <w:rFonts w:ascii="Arial" w:hAnsi="Arial"/>
      <w:b/>
      <w:i/>
      <w:sz w:val="18"/>
      <w:lang w:eastAsia="en-US"/>
    </w:rPr>
  </w:style>
  <w:style w:type="paragraph" w:customStyle="1" w:styleId="bullet1">
    <w:name w:val="bullet1"/>
    <w:basedOn w:val="Normal"/>
    <w:link w:val="bullet1Char"/>
    <w:uiPriority w:val="99"/>
    <w:qFormat/>
    <w:pPr>
      <w:numPr>
        <w:numId w:val="5"/>
      </w:numPr>
      <w:overflowPunct/>
      <w:autoSpaceDE/>
      <w:autoSpaceDN/>
      <w:spacing w:after="0" w:line="252" w:lineRule="auto"/>
      <w:jc w:val="both"/>
    </w:pPr>
    <w:rPr>
      <w:rFonts w:ascii="Times" w:eastAsiaTheme="minorHAnsi" w:hAnsi="Times" w:cs="Times"/>
      <w:sz w:val="22"/>
      <w:szCs w:val="22"/>
    </w:rPr>
  </w:style>
  <w:style w:type="paragraph" w:customStyle="1" w:styleId="bullet2">
    <w:name w:val="bullet2"/>
    <w:basedOn w:val="Normal"/>
    <w:uiPriority w:val="99"/>
    <w:qFormat/>
    <w:pPr>
      <w:numPr>
        <w:ilvl w:val="1"/>
        <w:numId w:val="5"/>
      </w:numPr>
      <w:overflowPunct/>
      <w:autoSpaceDE/>
      <w:autoSpaceDN/>
      <w:spacing w:after="0" w:line="252" w:lineRule="auto"/>
      <w:jc w:val="both"/>
    </w:pPr>
    <w:rPr>
      <w:rFonts w:ascii="Batang" w:eastAsia="Batang" w:hAnsi="Batang" w:cs="Calibri"/>
      <w:sz w:val="22"/>
      <w:szCs w:val="22"/>
    </w:rPr>
  </w:style>
  <w:style w:type="paragraph" w:customStyle="1" w:styleId="bullet3">
    <w:name w:val="bullet3"/>
    <w:basedOn w:val="Normal"/>
    <w:uiPriority w:val="99"/>
    <w:qFormat/>
    <w:pPr>
      <w:numPr>
        <w:ilvl w:val="2"/>
        <w:numId w:val="5"/>
      </w:numPr>
      <w:overflowPunct/>
      <w:autoSpaceDE/>
      <w:autoSpaceDN/>
      <w:spacing w:after="0" w:line="252" w:lineRule="auto"/>
      <w:ind w:hanging="180"/>
    </w:pPr>
    <w:rPr>
      <w:rFonts w:ascii="Times" w:eastAsiaTheme="minorHAnsi" w:hAnsi="Times" w:cs="Times"/>
    </w:rPr>
  </w:style>
  <w:style w:type="paragraph" w:customStyle="1" w:styleId="bullet4">
    <w:name w:val="bullet4"/>
    <w:basedOn w:val="Normal"/>
    <w:uiPriority w:val="99"/>
    <w:qFormat/>
    <w:pPr>
      <w:numPr>
        <w:ilvl w:val="3"/>
        <w:numId w:val="5"/>
      </w:numPr>
      <w:overflowPunct/>
      <w:autoSpaceDE/>
      <w:autoSpaceDN/>
      <w:spacing w:after="0" w:line="252" w:lineRule="auto"/>
    </w:pPr>
    <w:rPr>
      <w:rFonts w:ascii="Times" w:eastAsiaTheme="minorHAnsi" w:hAnsi="Times" w:cs="Times"/>
    </w:rPr>
  </w:style>
  <w:style w:type="character" w:customStyle="1" w:styleId="bullet1Char">
    <w:name w:val="bullet1 Char"/>
    <w:link w:val="bullet1"/>
    <w:uiPriority w:val="99"/>
    <w:qFormat/>
    <w:rPr>
      <w:rFonts w:ascii="Times" w:eastAsiaTheme="minorHAnsi" w:hAnsi="Times" w:cs="Times"/>
      <w:sz w:val="22"/>
      <w:szCs w:val="22"/>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i-provider">
    <w:name w:val="ui-provider"/>
    <w:basedOn w:val="DefaultParagraphFont"/>
    <w:qFormat/>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HR33RHYHUWRF-507899316-27050</_dlc_DocId>
    <_dlc_DocIdUrl xmlns="ca125759-a0e7-4469-93e0-e34bba23bda5">
      <Url>https://qualcomm.sharepoint.com/teams/pentari/_layouts/15/DocIdRedir.aspx?ID=HR33RHYHUWRF-507899316-27050</Url>
      <Description>HR33RHYHUWRF-507899316-27050</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034B9872-8950-4FC0-8D9B-6176CFFEC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DDC094-B69E-4F53-9958-E496C6000793}">
  <ds:schemaRefs>
    <ds:schemaRef ds:uri="http://schemas.openxmlformats.org/officeDocument/2006/bibliography"/>
  </ds:schemaRefs>
</ds:datastoreItem>
</file>

<file path=customXml/itemProps4.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7E943DAE-F995-43EF-8B99-B124852754C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2239</Words>
  <Characters>12764</Characters>
  <Application>Microsoft Office Word</Application>
  <DocSecurity>0</DocSecurity>
  <Lines>106</Lines>
  <Paragraphs>29</Paragraphs>
  <ScaleCrop>false</ScaleCrop>
  <Company>Qualcomm Inc.</Company>
  <LinksUpToDate>false</LinksUpToDate>
  <CharactersWithSpaces>14974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Yi Huang</cp:lastModifiedBy>
  <cp:revision>2</cp:revision>
  <cp:lastPrinted>2018-02-15T07:29:00Z</cp:lastPrinted>
  <dcterms:created xsi:type="dcterms:W3CDTF">2024-08-22T08:39:00Z</dcterms:created>
  <dcterms:modified xsi:type="dcterms:W3CDTF">2024-08-22T08:39:00Z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670b3109-62aa-4276-9002-772fd9595ef2</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y fmtid="{D5CDD505-2E9C-101B-9397-08002B2CF9AE}" pid="13" name="MSIP_Label_83bcef13-7cac-433f-ba1d-47a323951816_Enabled">
    <vt:lpwstr>true</vt:lpwstr>
  </property>
  <property fmtid="{D5CDD505-2E9C-101B-9397-08002B2CF9AE}" pid="14" name="MSIP_Label_83bcef13-7cac-433f-ba1d-47a323951816_SetDate">
    <vt:lpwstr>2024-08-19T08:42:58Z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e768a648-3b71-4edc-9ebe-4ca01ff975a4</vt:lpwstr>
  </property>
  <property fmtid="{D5CDD505-2E9C-101B-9397-08002B2CF9AE}" pid="19" name="MSIP_Label_83bcef13-7cac-433f-ba1d-47a323951816_ContentBits">
    <vt:lpwstr>0</vt:lpwstr>
  </property>
  <property fmtid="{D5CDD505-2E9C-101B-9397-08002B2CF9AE}" pid="20" name="MSIP_Label_f7b7771f-98a2-4ec9-8160-ee37e9359e20_Enabled">
    <vt:lpwstr>true</vt:lpwstr>
  </property>
  <property fmtid="{D5CDD505-2E9C-101B-9397-08002B2CF9AE}" pid="21" name="MSIP_Label_f7b7771f-98a2-4ec9-8160-ee37e9359e20_SetDate">
    <vt:lpwstr>2024-08-19T12:37:44Z</vt:lpwstr>
  </property>
  <property fmtid="{D5CDD505-2E9C-101B-9397-08002B2CF9AE}" pid="22" name="MSIP_Label_f7b7771f-98a2-4ec9-8160-ee37e9359e20_Method">
    <vt:lpwstr>Privileged</vt:lpwstr>
  </property>
  <property fmtid="{D5CDD505-2E9C-101B-9397-08002B2CF9AE}" pid="23" name="MSIP_Label_f7b7771f-98a2-4ec9-8160-ee37e9359e20_Name">
    <vt:lpwstr>社外開示</vt:lpwstr>
  </property>
  <property fmtid="{D5CDD505-2E9C-101B-9397-08002B2CF9AE}" pid="24" name="MSIP_Label_f7b7771f-98a2-4ec9-8160-ee37e9359e20_SiteId">
    <vt:lpwstr>6786d483-f51b-44bd-b40a-6fe409a5265e</vt:lpwstr>
  </property>
  <property fmtid="{D5CDD505-2E9C-101B-9397-08002B2CF9AE}" pid="25" name="MSIP_Label_f7b7771f-98a2-4ec9-8160-ee37e9359e20_ActionId">
    <vt:lpwstr>0c87729c-59f0-4a18-98e8-d96bc0f58004</vt:lpwstr>
  </property>
  <property fmtid="{D5CDD505-2E9C-101B-9397-08002B2CF9AE}" pid="26" name="MSIP_Label_f7b7771f-98a2-4ec9-8160-ee37e9359e20_ContentBits">
    <vt:lpwstr>0</vt:lpwstr>
  </property>
  <property fmtid="{D5CDD505-2E9C-101B-9397-08002B2CF9AE}" pid="27" name="KSOProductBuildVer">
    <vt:lpwstr>2052-11.8.2.12085</vt:lpwstr>
  </property>
  <property fmtid="{D5CDD505-2E9C-101B-9397-08002B2CF9AE}" pid="28" name="ICV">
    <vt:lpwstr>6418AB6AB4A64F2DB6E28CE5D0712414</vt:lpwstr>
  </property>
</Properties>
</file>